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2.xml" ContentType="application/vnd.openxmlformats-officedocument.customXmlProperties+xml"/>
  <Override PartName="/word/glossary/styles.xml" ContentType="application/vnd.openxmlformats-officedocument.wordprocessingml.styles+xml"/>
  <Override PartName="/word/numbering.xml" ContentType="application/vnd.openxmlformats-officedocument.wordprocessingml.numbering+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9A3FF3" w:rsidP="00A958F2" w:rsidRDefault="009A3FF3" w14:paraId="4D5CFB75" w14:textId="22827C1A">
      <w:pPr>
        <w:jc w:val="both"/>
      </w:pPr>
    </w:p>
    <w:p w:rsidR="00284E84" w:rsidP="00A958F2" w:rsidRDefault="00284E84" w14:paraId="0327A37B" w14:textId="77777777">
      <w:pPr>
        <w:jc w:val="both"/>
      </w:pPr>
    </w:p>
    <w:p w:rsidR="000055CC" w:rsidP="00A958F2" w:rsidRDefault="00F35A44" w14:paraId="22B74F59" w14:textId="77777777">
      <w:pPr>
        <w:jc w:val="both"/>
      </w:pPr>
      <w:r>
        <w:rPr>
          <w:b/>
          <w:noProof/>
          <w:sz w:val="28"/>
          <w:szCs w:val="28"/>
          <w:lang w:eastAsia="en-GB"/>
        </w:rPr>
        <w:drawing>
          <wp:anchor distT="0" distB="0" distL="114300" distR="114300" simplePos="0" relativeHeight="251658240" behindDoc="0" locked="0" layoutInCell="1" allowOverlap="1" wp14:anchorId="592BBA64" wp14:editId="7D9A6F35">
            <wp:simplePos x="0" y="0"/>
            <wp:positionH relativeFrom="column">
              <wp:posOffset>3456749</wp:posOffset>
            </wp:positionH>
            <wp:positionV relativeFrom="margin">
              <wp:align>top</wp:align>
            </wp:positionV>
            <wp:extent cx="2438400" cy="134112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A_DSB_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1341120"/>
                    </a:xfrm>
                    <a:prstGeom prst="rect">
                      <a:avLst/>
                    </a:prstGeom>
                  </pic:spPr>
                </pic:pic>
              </a:graphicData>
            </a:graphic>
          </wp:anchor>
        </w:drawing>
      </w:r>
    </w:p>
    <w:p w:rsidR="00F73E49" w:rsidP="00AB4C9D" w:rsidRDefault="00F73E49" w14:paraId="0DE1D2C1" w14:textId="77777777">
      <w:pPr>
        <w:jc w:val="both"/>
      </w:pPr>
    </w:p>
    <w:p w:rsidRPr="000B7CB3" w:rsidR="00F73E49" w:rsidP="00AB4C9D" w:rsidRDefault="00F73E49" w14:paraId="2B5EE984" w14:textId="77777777">
      <w:pPr>
        <w:jc w:val="center"/>
        <w:rPr>
          <w:b/>
          <w:sz w:val="40"/>
        </w:rPr>
      </w:pPr>
      <w:r w:rsidRPr="000B7CB3">
        <w:rPr>
          <w:b/>
          <w:sz w:val="40"/>
        </w:rPr>
        <w:t>D</w:t>
      </w:r>
      <w:r>
        <w:rPr>
          <w:b/>
          <w:sz w:val="40"/>
        </w:rPr>
        <w:t xml:space="preserve">erivatives </w:t>
      </w:r>
      <w:r w:rsidRPr="000B7CB3">
        <w:rPr>
          <w:b/>
          <w:sz w:val="40"/>
        </w:rPr>
        <w:t>S</w:t>
      </w:r>
      <w:r>
        <w:rPr>
          <w:b/>
          <w:sz w:val="40"/>
        </w:rPr>
        <w:t xml:space="preserve">ervice </w:t>
      </w:r>
      <w:r w:rsidRPr="000B7CB3">
        <w:rPr>
          <w:b/>
          <w:sz w:val="40"/>
        </w:rPr>
        <w:t>B</w:t>
      </w:r>
      <w:r>
        <w:rPr>
          <w:b/>
          <w:sz w:val="40"/>
        </w:rPr>
        <w:t>ureau</w:t>
      </w:r>
    </w:p>
    <w:p w:rsidR="00F73E49" w:rsidP="00AB4C9D" w:rsidRDefault="00F73E49" w14:paraId="733137A7" w14:textId="77777777">
      <w:pPr>
        <w:ind w:left="426" w:right="379"/>
        <w:jc w:val="center"/>
        <w:rPr>
          <w:sz w:val="36"/>
        </w:rPr>
      </w:pPr>
      <w:r>
        <w:rPr>
          <w:sz w:val="36"/>
        </w:rPr>
        <w:t>Follow up Proposals on the Principles Underlying the Fee Model for the Unique Product Identifier (UPI) Service - based on Industry Feedback to First Consultation Paper</w:t>
      </w:r>
    </w:p>
    <w:p w:rsidR="00F73E49" w:rsidP="00AB4C9D" w:rsidRDefault="00F73E49" w14:paraId="4231058B" w14:textId="77777777">
      <w:pPr>
        <w:jc w:val="center"/>
        <w:rPr>
          <w:sz w:val="36"/>
        </w:rPr>
      </w:pPr>
    </w:p>
    <w:p w:rsidRPr="002E5CA7" w:rsidR="00F73E49" w:rsidP="00AB4C9D" w:rsidRDefault="00F73E49" w14:paraId="6DAE7358" w14:textId="77777777">
      <w:pPr>
        <w:jc w:val="center"/>
        <w:rPr>
          <w:b/>
          <w:sz w:val="40"/>
        </w:rPr>
      </w:pPr>
      <w:r w:rsidRPr="002E5CA7">
        <w:rPr>
          <w:b/>
          <w:sz w:val="40"/>
        </w:rPr>
        <w:t>Consultation Paper</w:t>
      </w:r>
      <w:r>
        <w:rPr>
          <w:b/>
          <w:sz w:val="40"/>
        </w:rPr>
        <w:t xml:space="preserve"> 2</w:t>
      </w:r>
    </w:p>
    <w:p w:rsidR="00F73E49" w:rsidP="00AB4C9D" w:rsidRDefault="00F73E49" w14:paraId="588BEC9B" w14:textId="77777777">
      <w:pPr>
        <w:jc w:val="center"/>
        <w:rPr>
          <w:sz w:val="28"/>
        </w:rPr>
      </w:pPr>
      <w:r>
        <w:rPr>
          <w:sz w:val="28"/>
        </w:rPr>
        <w:t>10</w:t>
      </w:r>
      <w:r w:rsidRPr="00D25F17">
        <w:rPr>
          <w:sz w:val="28"/>
          <w:vertAlign w:val="superscript"/>
        </w:rPr>
        <w:t>th</w:t>
      </w:r>
      <w:r>
        <w:rPr>
          <w:sz w:val="28"/>
        </w:rPr>
        <w:t xml:space="preserve"> May 2021</w:t>
      </w:r>
    </w:p>
    <w:p w:rsidR="00F73E49" w:rsidP="00AB4C9D" w:rsidRDefault="00F73E49" w14:paraId="0B00D70B" w14:textId="77777777">
      <w:pPr>
        <w:jc w:val="center"/>
        <w:rPr>
          <w:sz w:val="28"/>
        </w:rPr>
      </w:pPr>
    </w:p>
    <w:p w:rsidR="00F73E49" w:rsidP="00AB4C9D" w:rsidRDefault="00F73E49" w14:paraId="3A468794" w14:textId="77777777">
      <w:pPr>
        <w:jc w:val="center"/>
      </w:pPr>
      <w:r>
        <w:br w:type="page"/>
      </w:r>
    </w:p>
    <w:p w:rsidR="00F73E49" w:rsidP="00AB4C9D" w:rsidRDefault="00F73E49" w14:paraId="3ECC16A7" w14:textId="77777777">
      <w:pPr>
        <w:jc w:val="both"/>
      </w:pPr>
      <w:r>
        <w:t xml:space="preserve">  </w:t>
      </w:r>
    </w:p>
    <w:p w:rsidRPr="003B1848" w:rsidR="00F73E49" w:rsidP="00F73E49" w:rsidRDefault="00F73E49" w14:paraId="368DCEFF" w14:textId="77777777">
      <w:pPr>
        <w:pStyle w:val="TOCHeading"/>
        <w:spacing w:before="0" w:line="276" w:lineRule="auto"/>
        <w:jc w:val="both"/>
        <w:rPr>
          <w:color w:val="30AEB9"/>
        </w:rPr>
      </w:pPr>
      <w:r w:rsidRPr="003B1848">
        <w:rPr>
          <w:color w:val="30AEB9"/>
        </w:rPr>
        <w:t>Contents</w:t>
      </w:r>
    </w:p>
    <w:p w:rsidR="00D2419C" w:rsidRDefault="00F73E49" w14:paraId="3575AD67" w14:textId="0087C192">
      <w:pPr>
        <w:pStyle w:val="TOC1"/>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history="1" w:anchor="_Toc71369584">
        <w:r w:rsidRPr="008F7287" w:rsidR="00D2419C">
          <w:rPr>
            <w:rStyle w:val="Hyperlink"/>
            <w:noProof/>
          </w:rPr>
          <w:t>1</w:t>
        </w:r>
        <w:r w:rsidR="00D2419C">
          <w:rPr>
            <w:rFonts w:eastAsiaTheme="minorEastAsia"/>
            <w:noProof/>
            <w:lang w:eastAsia="en-GB"/>
          </w:rPr>
          <w:tab/>
        </w:r>
        <w:r w:rsidRPr="008F7287" w:rsidR="00D2419C">
          <w:rPr>
            <w:rStyle w:val="Hyperlink"/>
            <w:noProof/>
          </w:rPr>
          <w:t>Executive Summary</w:t>
        </w:r>
        <w:r w:rsidR="00D2419C">
          <w:rPr>
            <w:noProof/>
            <w:webHidden/>
          </w:rPr>
          <w:tab/>
        </w:r>
        <w:r w:rsidR="00D2419C">
          <w:rPr>
            <w:noProof/>
            <w:webHidden/>
          </w:rPr>
          <w:fldChar w:fldCharType="begin"/>
        </w:r>
        <w:r w:rsidR="00D2419C">
          <w:rPr>
            <w:noProof/>
            <w:webHidden/>
          </w:rPr>
          <w:instrText xml:space="preserve"> PAGEREF _Toc71369584 \h </w:instrText>
        </w:r>
        <w:r w:rsidR="00D2419C">
          <w:rPr>
            <w:noProof/>
            <w:webHidden/>
          </w:rPr>
        </w:r>
        <w:r w:rsidR="00D2419C">
          <w:rPr>
            <w:noProof/>
            <w:webHidden/>
          </w:rPr>
          <w:fldChar w:fldCharType="separate"/>
        </w:r>
        <w:r w:rsidR="00D2419C">
          <w:rPr>
            <w:noProof/>
            <w:webHidden/>
          </w:rPr>
          <w:t>4</w:t>
        </w:r>
        <w:r w:rsidR="00D2419C">
          <w:rPr>
            <w:noProof/>
            <w:webHidden/>
          </w:rPr>
          <w:fldChar w:fldCharType="end"/>
        </w:r>
      </w:hyperlink>
    </w:p>
    <w:p w:rsidR="00D2419C" w:rsidRDefault="00A1370F" w14:paraId="7E8A19A3" w14:textId="50BCCD8E">
      <w:pPr>
        <w:pStyle w:val="TOC1"/>
        <w:rPr>
          <w:rFonts w:eastAsiaTheme="minorEastAsia"/>
          <w:noProof/>
          <w:lang w:eastAsia="en-GB"/>
        </w:rPr>
      </w:pPr>
      <w:hyperlink w:history="1" w:anchor="_Toc71369585">
        <w:r w:rsidRPr="008F7287" w:rsidR="00D2419C">
          <w:rPr>
            <w:rStyle w:val="Hyperlink"/>
            <w:noProof/>
          </w:rPr>
          <w:t>2</w:t>
        </w:r>
        <w:r w:rsidR="00D2419C">
          <w:rPr>
            <w:rFonts w:eastAsiaTheme="minorEastAsia"/>
            <w:noProof/>
            <w:lang w:eastAsia="en-GB"/>
          </w:rPr>
          <w:tab/>
        </w:r>
        <w:r w:rsidRPr="008F7287" w:rsidR="00D2419C">
          <w:rPr>
            <w:rStyle w:val="Hyperlink"/>
            <w:noProof/>
          </w:rPr>
          <w:t>DSB’s UPI Implementation Timeline</w:t>
        </w:r>
        <w:r w:rsidR="00D2419C">
          <w:rPr>
            <w:noProof/>
            <w:webHidden/>
          </w:rPr>
          <w:tab/>
        </w:r>
        <w:r w:rsidR="00D2419C">
          <w:rPr>
            <w:noProof/>
            <w:webHidden/>
          </w:rPr>
          <w:fldChar w:fldCharType="begin"/>
        </w:r>
        <w:r w:rsidR="00D2419C">
          <w:rPr>
            <w:noProof/>
            <w:webHidden/>
          </w:rPr>
          <w:instrText xml:space="preserve"> PAGEREF _Toc71369585 \h </w:instrText>
        </w:r>
        <w:r w:rsidR="00D2419C">
          <w:rPr>
            <w:noProof/>
            <w:webHidden/>
          </w:rPr>
        </w:r>
        <w:r w:rsidR="00D2419C">
          <w:rPr>
            <w:noProof/>
            <w:webHidden/>
          </w:rPr>
          <w:fldChar w:fldCharType="separate"/>
        </w:r>
        <w:r w:rsidR="00D2419C">
          <w:rPr>
            <w:noProof/>
            <w:webHidden/>
          </w:rPr>
          <w:t>7</w:t>
        </w:r>
        <w:r w:rsidR="00D2419C">
          <w:rPr>
            <w:noProof/>
            <w:webHidden/>
          </w:rPr>
          <w:fldChar w:fldCharType="end"/>
        </w:r>
      </w:hyperlink>
    </w:p>
    <w:p w:rsidR="00D2419C" w:rsidRDefault="00A1370F" w14:paraId="13067E86" w14:textId="2CAEDBEB">
      <w:pPr>
        <w:pStyle w:val="TOC1"/>
        <w:rPr>
          <w:rFonts w:eastAsiaTheme="minorEastAsia"/>
          <w:noProof/>
          <w:lang w:eastAsia="en-GB"/>
        </w:rPr>
      </w:pPr>
      <w:hyperlink w:history="1" w:anchor="_Toc71369586">
        <w:r w:rsidRPr="008F7287" w:rsidR="00D2419C">
          <w:rPr>
            <w:rStyle w:val="Hyperlink"/>
            <w:noProof/>
          </w:rPr>
          <w:t>3</w:t>
        </w:r>
        <w:r w:rsidR="00D2419C">
          <w:rPr>
            <w:rFonts w:eastAsiaTheme="minorEastAsia"/>
            <w:noProof/>
            <w:lang w:eastAsia="en-GB"/>
          </w:rPr>
          <w:tab/>
        </w:r>
        <w:r w:rsidRPr="008F7287" w:rsidR="00D2419C">
          <w:rPr>
            <w:rStyle w:val="Hyperlink"/>
            <w:noProof/>
          </w:rPr>
          <w:t>UPI Adoption Expectations</w:t>
        </w:r>
        <w:r w:rsidR="00D2419C">
          <w:rPr>
            <w:noProof/>
            <w:webHidden/>
          </w:rPr>
          <w:tab/>
        </w:r>
        <w:r w:rsidR="00D2419C">
          <w:rPr>
            <w:noProof/>
            <w:webHidden/>
          </w:rPr>
          <w:fldChar w:fldCharType="begin"/>
        </w:r>
        <w:r w:rsidR="00D2419C">
          <w:rPr>
            <w:noProof/>
            <w:webHidden/>
          </w:rPr>
          <w:instrText xml:space="preserve"> PAGEREF _Toc71369586 \h </w:instrText>
        </w:r>
        <w:r w:rsidR="00D2419C">
          <w:rPr>
            <w:noProof/>
            <w:webHidden/>
          </w:rPr>
        </w:r>
        <w:r w:rsidR="00D2419C">
          <w:rPr>
            <w:noProof/>
            <w:webHidden/>
          </w:rPr>
          <w:fldChar w:fldCharType="separate"/>
        </w:r>
        <w:r w:rsidR="00D2419C">
          <w:rPr>
            <w:noProof/>
            <w:webHidden/>
          </w:rPr>
          <w:t>8</w:t>
        </w:r>
        <w:r w:rsidR="00D2419C">
          <w:rPr>
            <w:noProof/>
            <w:webHidden/>
          </w:rPr>
          <w:fldChar w:fldCharType="end"/>
        </w:r>
      </w:hyperlink>
    </w:p>
    <w:p w:rsidR="00D2419C" w:rsidRDefault="00A1370F" w14:paraId="7B309B57" w14:textId="28A0C31A">
      <w:pPr>
        <w:pStyle w:val="TOC1"/>
        <w:rPr>
          <w:rFonts w:eastAsiaTheme="minorEastAsia"/>
          <w:noProof/>
          <w:lang w:eastAsia="en-GB"/>
        </w:rPr>
      </w:pPr>
      <w:hyperlink w:history="1" w:anchor="_Toc71369587">
        <w:r w:rsidRPr="008F7287" w:rsidR="00D2419C">
          <w:rPr>
            <w:rStyle w:val="Hyperlink"/>
            <w:noProof/>
          </w:rPr>
          <w:t>4</w:t>
        </w:r>
        <w:r w:rsidR="00D2419C">
          <w:rPr>
            <w:rFonts w:eastAsiaTheme="minorEastAsia"/>
            <w:noProof/>
            <w:lang w:eastAsia="en-GB"/>
          </w:rPr>
          <w:tab/>
        </w:r>
        <w:r w:rsidRPr="008F7287" w:rsidR="00D2419C">
          <w:rPr>
            <w:rStyle w:val="Hyperlink"/>
            <w:noProof/>
          </w:rPr>
          <w:t>Consultation Considerations</w:t>
        </w:r>
        <w:r w:rsidR="00D2419C">
          <w:rPr>
            <w:noProof/>
            <w:webHidden/>
          </w:rPr>
          <w:tab/>
        </w:r>
        <w:r w:rsidR="00D2419C">
          <w:rPr>
            <w:noProof/>
            <w:webHidden/>
          </w:rPr>
          <w:fldChar w:fldCharType="begin"/>
        </w:r>
        <w:r w:rsidR="00D2419C">
          <w:rPr>
            <w:noProof/>
            <w:webHidden/>
          </w:rPr>
          <w:instrText xml:space="preserve"> PAGEREF _Toc71369587 \h </w:instrText>
        </w:r>
        <w:r w:rsidR="00D2419C">
          <w:rPr>
            <w:noProof/>
            <w:webHidden/>
          </w:rPr>
        </w:r>
        <w:r w:rsidR="00D2419C">
          <w:rPr>
            <w:noProof/>
            <w:webHidden/>
          </w:rPr>
          <w:fldChar w:fldCharType="separate"/>
        </w:r>
        <w:r w:rsidR="00D2419C">
          <w:rPr>
            <w:noProof/>
            <w:webHidden/>
          </w:rPr>
          <w:t>9</w:t>
        </w:r>
        <w:r w:rsidR="00D2419C">
          <w:rPr>
            <w:noProof/>
            <w:webHidden/>
          </w:rPr>
          <w:fldChar w:fldCharType="end"/>
        </w:r>
      </w:hyperlink>
    </w:p>
    <w:p w:rsidR="00D2419C" w:rsidRDefault="00A1370F" w14:paraId="12C44F72" w14:textId="5FD9F576">
      <w:pPr>
        <w:pStyle w:val="TOC2"/>
        <w:rPr>
          <w:rFonts w:eastAsiaTheme="minorEastAsia"/>
          <w:noProof/>
          <w:lang w:eastAsia="en-GB"/>
        </w:rPr>
      </w:pPr>
      <w:hyperlink w:history="1" w:anchor="_Toc71369588">
        <w:r w:rsidRPr="008F7287" w:rsidR="00D2419C">
          <w:rPr>
            <w:rStyle w:val="Hyperlink"/>
            <w:noProof/>
          </w:rPr>
          <w:t>4.1</w:t>
        </w:r>
        <w:r w:rsidR="00D2419C">
          <w:rPr>
            <w:rFonts w:eastAsiaTheme="minorEastAsia"/>
            <w:noProof/>
            <w:lang w:eastAsia="en-GB"/>
          </w:rPr>
          <w:tab/>
        </w:r>
        <w:r w:rsidRPr="008F7287" w:rsidR="00D2419C">
          <w:rPr>
            <w:rStyle w:val="Hyperlink"/>
            <w:noProof/>
          </w:rPr>
          <w:t>User Estimates</w:t>
        </w:r>
        <w:r w:rsidR="00D2419C">
          <w:rPr>
            <w:noProof/>
            <w:webHidden/>
          </w:rPr>
          <w:tab/>
        </w:r>
        <w:r w:rsidR="00D2419C">
          <w:rPr>
            <w:noProof/>
            <w:webHidden/>
          </w:rPr>
          <w:fldChar w:fldCharType="begin"/>
        </w:r>
        <w:r w:rsidR="00D2419C">
          <w:rPr>
            <w:noProof/>
            <w:webHidden/>
          </w:rPr>
          <w:instrText xml:space="preserve"> PAGEREF _Toc71369588 \h </w:instrText>
        </w:r>
        <w:r w:rsidR="00D2419C">
          <w:rPr>
            <w:noProof/>
            <w:webHidden/>
          </w:rPr>
        </w:r>
        <w:r w:rsidR="00D2419C">
          <w:rPr>
            <w:noProof/>
            <w:webHidden/>
          </w:rPr>
          <w:fldChar w:fldCharType="separate"/>
        </w:r>
        <w:r w:rsidR="00D2419C">
          <w:rPr>
            <w:noProof/>
            <w:webHidden/>
          </w:rPr>
          <w:t>10</w:t>
        </w:r>
        <w:r w:rsidR="00D2419C">
          <w:rPr>
            <w:noProof/>
            <w:webHidden/>
          </w:rPr>
          <w:fldChar w:fldCharType="end"/>
        </w:r>
      </w:hyperlink>
    </w:p>
    <w:p w:rsidR="00D2419C" w:rsidRDefault="00A1370F" w14:paraId="10287F31" w14:textId="642EAC5D">
      <w:pPr>
        <w:pStyle w:val="TOC2"/>
        <w:rPr>
          <w:rFonts w:eastAsiaTheme="minorEastAsia"/>
          <w:noProof/>
          <w:lang w:eastAsia="en-GB"/>
        </w:rPr>
      </w:pPr>
      <w:hyperlink w:history="1" w:anchor="_Toc71369589">
        <w:r w:rsidRPr="008F7287" w:rsidR="00D2419C">
          <w:rPr>
            <w:rStyle w:val="Hyperlink"/>
            <w:noProof/>
          </w:rPr>
          <w:t>4.2</w:t>
        </w:r>
        <w:r w:rsidR="00D2419C">
          <w:rPr>
            <w:rFonts w:eastAsiaTheme="minorEastAsia"/>
            <w:noProof/>
            <w:lang w:eastAsia="en-GB"/>
          </w:rPr>
          <w:tab/>
        </w:r>
        <w:r w:rsidRPr="008F7287" w:rsidR="00D2419C">
          <w:rPr>
            <w:rStyle w:val="Hyperlink"/>
            <w:noProof/>
          </w:rPr>
          <w:t>Forecast Workflow Support for Users</w:t>
        </w:r>
        <w:r w:rsidR="00D2419C">
          <w:rPr>
            <w:noProof/>
            <w:webHidden/>
          </w:rPr>
          <w:tab/>
        </w:r>
        <w:r w:rsidR="00D2419C">
          <w:rPr>
            <w:noProof/>
            <w:webHidden/>
          </w:rPr>
          <w:fldChar w:fldCharType="begin"/>
        </w:r>
        <w:r w:rsidR="00D2419C">
          <w:rPr>
            <w:noProof/>
            <w:webHidden/>
          </w:rPr>
          <w:instrText xml:space="preserve"> PAGEREF _Toc71369589 \h </w:instrText>
        </w:r>
        <w:r w:rsidR="00D2419C">
          <w:rPr>
            <w:noProof/>
            <w:webHidden/>
          </w:rPr>
        </w:r>
        <w:r w:rsidR="00D2419C">
          <w:rPr>
            <w:noProof/>
            <w:webHidden/>
          </w:rPr>
          <w:fldChar w:fldCharType="separate"/>
        </w:r>
        <w:r w:rsidR="00D2419C">
          <w:rPr>
            <w:noProof/>
            <w:webHidden/>
          </w:rPr>
          <w:t>13</w:t>
        </w:r>
        <w:r w:rsidR="00D2419C">
          <w:rPr>
            <w:noProof/>
            <w:webHidden/>
          </w:rPr>
          <w:fldChar w:fldCharType="end"/>
        </w:r>
      </w:hyperlink>
    </w:p>
    <w:p w:rsidR="00D2419C" w:rsidRDefault="00A1370F" w14:paraId="7CA425CE" w14:textId="65375E94">
      <w:pPr>
        <w:pStyle w:val="TOC2"/>
        <w:rPr>
          <w:rFonts w:eastAsiaTheme="minorEastAsia"/>
          <w:noProof/>
          <w:lang w:eastAsia="en-GB"/>
        </w:rPr>
      </w:pPr>
      <w:hyperlink w:history="1" w:anchor="_Toc71369590">
        <w:r w:rsidRPr="008F7287" w:rsidR="00D2419C">
          <w:rPr>
            <w:rStyle w:val="Hyperlink"/>
            <w:noProof/>
          </w:rPr>
          <w:t>4.3</w:t>
        </w:r>
        <w:r w:rsidR="00D2419C">
          <w:rPr>
            <w:rFonts w:eastAsiaTheme="minorEastAsia"/>
            <w:noProof/>
            <w:lang w:eastAsia="en-GB"/>
          </w:rPr>
          <w:tab/>
        </w:r>
        <w:r w:rsidRPr="008F7287" w:rsidR="00D2419C">
          <w:rPr>
            <w:rStyle w:val="Hyperlink"/>
            <w:noProof/>
          </w:rPr>
          <w:t>User Access</w:t>
        </w:r>
        <w:r w:rsidR="00D2419C">
          <w:rPr>
            <w:noProof/>
            <w:webHidden/>
          </w:rPr>
          <w:tab/>
        </w:r>
        <w:r w:rsidR="00D2419C">
          <w:rPr>
            <w:noProof/>
            <w:webHidden/>
          </w:rPr>
          <w:fldChar w:fldCharType="begin"/>
        </w:r>
        <w:r w:rsidR="00D2419C">
          <w:rPr>
            <w:noProof/>
            <w:webHidden/>
          </w:rPr>
          <w:instrText xml:space="preserve"> PAGEREF _Toc71369590 \h </w:instrText>
        </w:r>
        <w:r w:rsidR="00D2419C">
          <w:rPr>
            <w:noProof/>
            <w:webHidden/>
          </w:rPr>
        </w:r>
        <w:r w:rsidR="00D2419C">
          <w:rPr>
            <w:noProof/>
            <w:webHidden/>
          </w:rPr>
          <w:fldChar w:fldCharType="separate"/>
        </w:r>
        <w:r w:rsidR="00D2419C">
          <w:rPr>
            <w:noProof/>
            <w:webHidden/>
          </w:rPr>
          <w:t>16</w:t>
        </w:r>
        <w:r w:rsidR="00D2419C">
          <w:rPr>
            <w:noProof/>
            <w:webHidden/>
          </w:rPr>
          <w:fldChar w:fldCharType="end"/>
        </w:r>
      </w:hyperlink>
    </w:p>
    <w:p w:rsidR="00D2419C" w:rsidRDefault="00A1370F" w14:paraId="404B5A14" w14:textId="0CC17350">
      <w:pPr>
        <w:pStyle w:val="TOC2"/>
        <w:rPr>
          <w:rFonts w:eastAsiaTheme="minorEastAsia"/>
          <w:noProof/>
          <w:lang w:eastAsia="en-GB"/>
        </w:rPr>
      </w:pPr>
      <w:hyperlink w:history="1" w:anchor="_Toc71369591">
        <w:r w:rsidRPr="008F7287" w:rsidR="00D2419C">
          <w:rPr>
            <w:rStyle w:val="Hyperlink"/>
            <w:noProof/>
          </w:rPr>
          <w:t>4.4</w:t>
        </w:r>
        <w:r w:rsidR="00D2419C">
          <w:rPr>
            <w:rFonts w:eastAsiaTheme="minorEastAsia"/>
            <w:noProof/>
            <w:lang w:eastAsia="en-GB"/>
          </w:rPr>
          <w:tab/>
        </w:r>
        <w:r w:rsidRPr="008F7287" w:rsidR="00D2419C">
          <w:rPr>
            <w:rStyle w:val="Hyperlink"/>
            <w:noProof/>
          </w:rPr>
          <w:t>Registered User File Download Timing</w:t>
        </w:r>
        <w:r w:rsidR="00D2419C">
          <w:rPr>
            <w:noProof/>
            <w:webHidden/>
          </w:rPr>
          <w:tab/>
        </w:r>
        <w:r w:rsidR="00D2419C">
          <w:rPr>
            <w:noProof/>
            <w:webHidden/>
          </w:rPr>
          <w:fldChar w:fldCharType="begin"/>
        </w:r>
        <w:r w:rsidR="00D2419C">
          <w:rPr>
            <w:noProof/>
            <w:webHidden/>
          </w:rPr>
          <w:instrText xml:space="preserve"> PAGEREF _Toc71369591 \h </w:instrText>
        </w:r>
        <w:r w:rsidR="00D2419C">
          <w:rPr>
            <w:noProof/>
            <w:webHidden/>
          </w:rPr>
        </w:r>
        <w:r w:rsidR="00D2419C">
          <w:rPr>
            <w:noProof/>
            <w:webHidden/>
          </w:rPr>
          <w:fldChar w:fldCharType="separate"/>
        </w:r>
        <w:r w:rsidR="00D2419C">
          <w:rPr>
            <w:noProof/>
            <w:webHidden/>
          </w:rPr>
          <w:t>18</w:t>
        </w:r>
        <w:r w:rsidR="00D2419C">
          <w:rPr>
            <w:noProof/>
            <w:webHidden/>
          </w:rPr>
          <w:fldChar w:fldCharType="end"/>
        </w:r>
      </w:hyperlink>
    </w:p>
    <w:p w:rsidR="00D2419C" w:rsidRDefault="00A1370F" w14:paraId="25CB900D" w14:textId="70D9D33F">
      <w:pPr>
        <w:pStyle w:val="TOC2"/>
        <w:rPr>
          <w:rFonts w:eastAsiaTheme="minorEastAsia"/>
          <w:noProof/>
          <w:lang w:eastAsia="en-GB"/>
        </w:rPr>
      </w:pPr>
      <w:hyperlink w:history="1" w:anchor="_Toc71369592">
        <w:r w:rsidRPr="008F7287" w:rsidR="00D2419C">
          <w:rPr>
            <w:rStyle w:val="Hyperlink"/>
            <w:noProof/>
          </w:rPr>
          <w:t>4.5</w:t>
        </w:r>
        <w:r w:rsidR="00D2419C">
          <w:rPr>
            <w:rFonts w:eastAsiaTheme="minorEastAsia"/>
            <w:noProof/>
            <w:lang w:eastAsia="en-GB"/>
          </w:rPr>
          <w:tab/>
        </w:r>
        <w:r w:rsidRPr="008F7287" w:rsidR="00D2419C">
          <w:rPr>
            <w:rStyle w:val="Hyperlink"/>
            <w:noProof/>
          </w:rPr>
          <w:t>User Fee Structure</w:t>
        </w:r>
        <w:r w:rsidR="00D2419C">
          <w:rPr>
            <w:noProof/>
            <w:webHidden/>
          </w:rPr>
          <w:tab/>
        </w:r>
        <w:r w:rsidR="00D2419C">
          <w:rPr>
            <w:noProof/>
            <w:webHidden/>
          </w:rPr>
          <w:fldChar w:fldCharType="begin"/>
        </w:r>
        <w:r w:rsidR="00D2419C">
          <w:rPr>
            <w:noProof/>
            <w:webHidden/>
          </w:rPr>
          <w:instrText xml:space="preserve"> PAGEREF _Toc71369592 \h </w:instrText>
        </w:r>
        <w:r w:rsidR="00D2419C">
          <w:rPr>
            <w:noProof/>
            <w:webHidden/>
          </w:rPr>
        </w:r>
        <w:r w:rsidR="00D2419C">
          <w:rPr>
            <w:noProof/>
            <w:webHidden/>
          </w:rPr>
          <w:fldChar w:fldCharType="separate"/>
        </w:r>
        <w:r w:rsidR="00D2419C">
          <w:rPr>
            <w:noProof/>
            <w:webHidden/>
          </w:rPr>
          <w:t>21</w:t>
        </w:r>
        <w:r w:rsidR="00D2419C">
          <w:rPr>
            <w:noProof/>
            <w:webHidden/>
          </w:rPr>
          <w:fldChar w:fldCharType="end"/>
        </w:r>
      </w:hyperlink>
    </w:p>
    <w:p w:rsidR="00D2419C" w:rsidRDefault="00A1370F" w14:paraId="0D6213F3" w14:textId="2289CF1E">
      <w:pPr>
        <w:pStyle w:val="TOC2"/>
        <w:rPr>
          <w:rFonts w:eastAsiaTheme="minorEastAsia"/>
          <w:noProof/>
          <w:lang w:eastAsia="en-GB"/>
        </w:rPr>
      </w:pPr>
      <w:hyperlink w:history="1" w:anchor="_Toc71369593">
        <w:r w:rsidRPr="008F7287" w:rsidR="00D2419C">
          <w:rPr>
            <w:rStyle w:val="Hyperlink"/>
            <w:noProof/>
          </w:rPr>
          <w:t>4.6</w:t>
        </w:r>
        <w:r w:rsidR="00D2419C">
          <w:rPr>
            <w:rFonts w:eastAsiaTheme="minorEastAsia"/>
            <w:noProof/>
            <w:lang w:eastAsia="en-GB"/>
          </w:rPr>
          <w:tab/>
        </w:r>
        <w:r w:rsidRPr="008F7287" w:rsidR="00D2419C">
          <w:rPr>
            <w:rStyle w:val="Hyperlink"/>
            <w:noProof/>
          </w:rPr>
          <w:t>UPI Cost Basis</w:t>
        </w:r>
        <w:r w:rsidR="00D2419C">
          <w:rPr>
            <w:noProof/>
            <w:webHidden/>
          </w:rPr>
          <w:tab/>
        </w:r>
        <w:r w:rsidR="00D2419C">
          <w:rPr>
            <w:noProof/>
            <w:webHidden/>
          </w:rPr>
          <w:fldChar w:fldCharType="begin"/>
        </w:r>
        <w:r w:rsidR="00D2419C">
          <w:rPr>
            <w:noProof/>
            <w:webHidden/>
          </w:rPr>
          <w:instrText xml:space="preserve"> PAGEREF _Toc71369593 \h </w:instrText>
        </w:r>
        <w:r w:rsidR="00D2419C">
          <w:rPr>
            <w:noProof/>
            <w:webHidden/>
          </w:rPr>
        </w:r>
        <w:r w:rsidR="00D2419C">
          <w:rPr>
            <w:noProof/>
            <w:webHidden/>
          </w:rPr>
          <w:fldChar w:fldCharType="separate"/>
        </w:r>
        <w:r w:rsidR="00D2419C">
          <w:rPr>
            <w:noProof/>
            <w:webHidden/>
          </w:rPr>
          <w:t>23</w:t>
        </w:r>
        <w:r w:rsidR="00D2419C">
          <w:rPr>
            <w:noProof/>
            <w:webHidden/>
          </w:rPr>
          <w:fldChar w:fldCharType="end"/>
        </w:r>
      </w:hyperlink>
    </w:p>
    <w:p w:rsidR="00D2419C" w:rsidRDefault="00A1370F" w14:paraId="06A400DC" w14:textId="6D3AC2C4">
      <w:pPr>
        <w:pStyle w:val="TOC2"/>
        <w:rPr>
          <w:rFonts w:eastAsiaTheme="minorEastAsia"/>
          <w:noProof/>
          <w:lang w:eastAsia="en-GB"/>
        </w:rPr>
      </w:pPr>
      <w:hyperlink w:history="1" w:anchor="_Toc71369594">
        <w:r w:rsidRPr="008F7287" w:rsidR="00D2419C">
          <w:rPr>
            <w:rStyle w:val="Hyperlink"/>
            <w:noProof/>
          </w:rPr>
          <w:t>4.7</w:t>
        </w:r>
        <w:r w:rsidR="00D2419C">
          <w:rPr>
            <w:rFonts w:eastAsiaTheme="minorEastAsia"/>
            <w:noProof/>
            <w:lang w:eastAsia="en-GB"/>
          </w:rPr>
          <w:tab/>
        </w:r>
        <w:r w:rsidRPr="008F7287" w:rsidR="00D2419C">
          <w:rPr>
            <w:rStyle w:val="Hyperlink"/>
            <w:noProof/>
          </w:rPr>
          <w:t>UPI – OTC ISIN cost allocation policy</w:t>
        </w:r>
        <w:r w:rsidR="00D2419C">
          <w:rPr>
            <w:noProof/>
            <w:webHidden/>
          </w:rPr>
          <w:tab/>
        </w:r>
        <w:r w:rsidR="00D2419C">
          <w:rPr>
            <w:noProof/>
            <w:webHidden/>
          </w:rPr>
          <w:fldChar w:fldCharType="begin"/>
        </w:r>
        <w:r w:rsidR="00D2419C">
          <w:rPr>
            <w:noProof/>
            <w:webHidden/>
          </w:rPr>
          <w:instrText xml:space="preserve"> PAGEREF _Toc71369594 \h </w:instrText>
        </w:r>
        <w:r w:rsidR="00D2419C">
          <w:rPr>
            <w:noProof/>
            <w:webHidden/>
          </w:rPr>
        </w:r>
        <w:r w:rsidR="00D2419C">
          <w:rPr>
            <w:noProof/>
            <w:webHidden/>
          </w:rPr>
          <w:fldChar w:fldCharType="separate"/>
        </w:r>
        <w:r w:rsidR="00D2419C">
          <w:rPr>
            <w:noProof/>
            <w:webHidden/>
          </w:rPr>
          <w:t>26</w:t>
        </w:r>
        <w:r w:rsidR="00D2419C">
          <w:rPr>
            <w:noProof/>
            <w:webHidden/>
          </w:rPr>
          <w:fldChar w:fldCharType="end"/>
        </w:r>
      </w:hyperlink>
    </w:p>
    <w:p w:rsidR="00D2419C" w:rsidRDefault="00A1370F" w14:paraId="5CC1B882" w14:textId="2A53DEC6">
      <w:pPr>
        <w:pStyle w:val="TOC2"/>
        <w:rPr>
          <w:rFonts w:eastAsiaTheme="minorEastAsia"/>
          <w:noProof/>
          <w:lang w:eastAsia="en-GB"/>
        </w:rPr>
      </w:pPr>
      <w:hyperlink w:history="1" w:anchor="_Toc71369595">
        <w:r w:rsidRPr="008F7287" w:rsidR="00D2419C">
          <w:rPr>
            <w:rStyle w:val="Hyperlink"/>
            <w:noProof/>
          </w:rPr>
          <w:t>4.8</w:t>
        </w:r>
        <w:r w:rsidR="00D2419C">
          <w:rPr>
            <w:rFonts w:eastAsiaTheme="minorEastAsia"/>
            <w:noProof/>
            <w:lang w:eastAsia="en-GB"/>
          </w:rPr>
          <w:tab/>
        </w:r>
        <w:r w:rsidRPr="008F7287" w:rsidR="00D2419C">
          <w:rPr>
            <w:rStyle w:val="Hyperlink"/>
            <w:noProof/>
          </w:rPr>
          <w:t>Duration of UPI User Agreement</w:t>
        </w:r>
        <w:r w:rsidR="00D2419C">
          <w:rPr>
            <w:noProof/>
            <w:webHidden/>
          </w:rPr>
          <w:tab/>
        </w:r>
        <w:r w:rsidR="00D2419C">
          <w:rPr>
            <w:noProof/>
            <w:webHidden/>
          </w:rPr>
          <w:fldChar w:fldCharType="begin"/>
        </w:r>
        <w:r w:rsidR="00D2419C">
          <w:rPr>
            <w:noProof/>
            <w:webHidden/>
          </w:rPr>
          <w:instrText xml:space="preserve"> PAGEREF _Toc71369595 \h </w:instrText>
        </w:r>
        <w:r w:rsidR="00D2419C">
          <w:rPr>
            <w:noProof/>
            <w:webHidden/>
          </w:rPr>
        </w:r>
        <w:r w:rsidR="00D2419C">
          <w:rPr>
            <w:noProof/>
            <w:webHidden/>
          </w:rPr>
          <w:fldChar w:fldCharType="separate"/>
        </w:r>
        <w:r w:rsidR="00D2419C">
          <w:rPr>
            <w:noProof/>
            <w:webHidden/>
          </w:rPr>
          <w:t>28</w:t>
        </w:r>
        <w:r w:rsidR="00D2419C">
          <w:rPr>
            <w:noProof/>
            <w:webHidden/>
          </w:rPr>
          <w:fldChar w:fldCharType="end"/>
        </w:r>
      </w:hyperlink>
    </w:p>
    <w:p w:rsidR="00D2419C" w:rsidRDefault="00A1370F" w14:paraId="0ED04319" w14:textId="61A79E40">
      <w:pPr>
        <w:pStyle w:val="TOC2"/>
        <w:rPr>
          <w:rFonts w:eastAsiaTheme="minorEastAsia"/>
          <w:noProof/>
          <w:lang w:eastAsia="en-GB"/>
        </w:rPr>
      </w:pPr>
      <w:hyperlink w:history="1" w:anchor="_Toc71369596">
        <w:r w:rsidRPr="008F7287" w:rsidR="00D2419C">
          <w:rPr>
            <w:rStyle w:val="Hyperlink"/>
            <w:noProof/>
          </w:rPr>
          <w:t>4.9</w:t>
        </w:r>
        <w:r w:rsidR="00D2419C">
          <w:rPr>
            <w:rFonts w:eastAsiaTheme="minorEastAsia"/>
            <w:noProof/>
            <w:lang w:eastAsia="en-GB"/>
          </w:rPr>
          <w:tab/>
        </w:r>
        <w:r w:rsidRPr="008F7287" w:rsidR="00D2419C">
          <w:rPr>
            <w:rStyle w:val="Hyperlink"/>
            <w:noProof/>
          </w:rPr>
          <w:t>Invoicing Approach</w:t>
        </w:r>
        <w:r w:rsidR="00D2419C">
          <w:rPr>
            <w:noProof/>
            <w:webHidden/>
          </w:rPr>
          <w:tab/>
        </w:r>
        <w:r w:rsidR="00D2419C">
          <w:rPr>
            <w:noProof/>
            <w:webHidden/>
          </w:rPr>
          <w:fldChar w:fldCharType="begin"/>
        </w:r>
        <w:r w:rsidR="00D2419C">
          <w:rPr>
            <w:noProof/>
            <w:webHidden/>
          </w:rPr>
          <w:instrText xml:space="preserve"> PAGEREF _Toc71369596 \h </w:instrText>
        </w:r>
        <w:r w:rsidR="00D2419C">
          <w:rPr>
            <w:noProof/>
            <w:webHidden/>
          </w:rPr>
        </w:r>
        <w:r w:rsidR="00D2419C">
          <w:rPr>
            <w:noProof/>
            <w:webHidden/>
          </w:rPr>
          <w:fldChar w:fldCharType="separate"/>
        </w:r>
        <w:r w:rsidR="00D2419C">
          <w:rPr>
            <w:noProof/>
            <w:webHidden/>
          </w:rPr>
          <w:t>29</w:t>
        </w:r>
        <w:r w:rsidR="00D2419C">
          <w:rPr>
            <w:noProof/>
            <w:webHidden/>
          </w:rPr>
          <w:fldChar w:fldCharType="end"/>
        </w:r>
      </w:hyperlink>
    </w:p>
    <w:p w:rsidR="00D2419C" w:rsidRDefault="00A1370F" w14:paraId="66AAD0D3" w14:textId="7B68371F">
      <w:pPr>
        <w:pStyle w:val="TOC2"/>
        <w:rPr>
          <w:rFonts w:eastAsiaTheme="minorEastAsia"/>
          <w:noProof/>
          <w:lang w:eastAsia="en-GB"/>
        </w:rPr>
      </w:pPr>
      <w:hyperlink w:history="1" w:anchor="_Toc71369597">
        <w:r w:rsidRPr="008F7287" w:rsidR="00D2419C">
          <w:rPr>
            <w:rStyle w:val="Hyperlink"/>
            <w:noProof/>
          </w:rPr>
          <w:t>4.10</w:t>
        </w:r>
        <w:r w:rsidR="00D2419C">
          <w:rPr>
            <w:rFonts w:eastAsiaTheme="minorEastAsia"/>
            <w:noProof/>
            <w:lang w:eastAsia="en-GB"/>
          </w:rPr>
          <w:tab/>
        </w:r>
        <w:r w:rsidRPr="008F7287" w:rsidR="00D2419C">
          <w:rPr>
            <w:rStyle w:val="Hyperlink"/>
            <w:noProof/>
          </w:rPr>
          <w:t>Capital Expenditure Amortisation Approach</w:t>
        </w:r>
        <w:r w:rsidR="00D2419C">
          <w:rPr>
            <w:noProof/>
            <w:webHidden/>
          </w:rPr>
          <w:tab/>
        </w:r>
        <w:r w:rsidR="00D2419C">
          <w:rPr>
            <w:noProof/>
            <w:webHidden/>
          </w:rPr>
          <w:fldChar w:fldCharType="begin"/>
        </w:r>
        <w:r w:rsidR="00D2419C">
          <w:rPr>
            <w:noProof/>
            <w:webHidden/>
          </w:rPr>
          <w:instrText xml:space="preserve"> PAGEREF _Toc71369597 \h </w:instrText>
        </w:r>
        <w:r w:rsidR="00D2419C">
          <w:rPr>
            <w:noProof/>
            <w:webHidden/>
          </w:rPr>
        </w:r>
        <w:r w:rsidR="00D2419C">
          <w:rPr>
            <w:noProof/>
            <w:webHidden/>
          </w:rPr>
          <w:fldChar w:fldCharType="separate"/>
        </w:r>
        <w:r w:rsidR="00D2419C">
          <w:rPr>
            <w:noProof/>
            <w:webHidden/>
          </w:rPr>
          <w:t>30</w:t>
        </w:r>
        <w:r w:rsidR="00D2419C">
          <w:rPr>
            <w:noProof/>
            <w:webHidden/>
          </w:rPr>
          <w:fldChar w:fldCharType="end"/>
        </w:r>
      </w:hyperlink>
    </w:p>
    <w:p w:rsidR="00D2419C" w:rsidRDefault="00A1370F" w14:paraId="421A1814" w14:textId="61E377E7">
      <w:pPr>
        <w:pStyle w:val="TOC2"/>
        <w:rPr>
          <w:rFonts w:eastAsiaTheme="minorEastAsia"/>
          <w:noProof/>
          <w:lang w:eastAsia="en-GB"/>
        </w:rPr>
      </w:pPr>
      <w:hyperlink w:history="1" w:anchor="_Toc71369598">
        <w:r w:rsidRPr="008F7287" w:rsidR="00D2419C">
          <w:rPr>
            <w:rStyle w:val="Hyperlink"/>
            <w:noProof/>
          </w:rPr>
          <w:t>4.11</w:t>
        </w:r>
        <w:r w:rsidR="00D2419C">
          <w:rPr>
            <w:rFonts w:eastAsiaTheme="minorEastAsia"/>
            <w:noProof/>
            <w:lang w:eastAsia="en-GB"/>
          </w:rPr>
          <w:tab/>
        </w:r>
        <w:r w:rsidRPr="008F7287" w:rsidR="00D2419C">
          <w:rPr>
            <w:rStyle w:val="Hyperlink"/>
            <w:noProof/>
          </w:rPr>
          <w:t>Additional Feedback Received</w:t>
        </w:r>
        <w:r w:rsidR="00D2419C">
          <w:rPr>
            <w:noProof/>
            <w:webHidden/>
          </w:rPr>
          <w:tab/>
        </w:r>
        <w:r w:rsidR="00D2419C">
          <w:rPr>
            <w:noProof/>
            <w:webHidden/>
          </w:rPr>
          <w:fldChar w:fldCharType="begin"/>
        </w:r>
        <w:r w:rsidR="00D2419C">
          <w:rPr>
            <w:noProof/>
            <w:webHidden/>
          </w:rPr>
          <w:instrText xml:space="preserve"> PAGEREF _Toc71369598 \h </w:instrText>
        </w:r>
        <w:r w:rsidR="00D2419C">
          <w:rPr>
            <w:noProof/>
            <w:webHidden/>
          </w:rPr>
        </w:r>
        <w:r w:rsidR="00D2419C">
          <w:rPr>
            <w:noProof/>
            <w:webHidden/>
          </w:rPr>
          <w:fldChar w:fldCharType="separate"/>
        </w:r>
        <w:r w:rsidR="00D2419C">
          <w:rPr>
            <w:noProof/>
            <w:webHidden/>
          </w:rPr>
          <w:t>30</w:t>
        </w:r>
        <w:r w:rsidR="00D2419C">
          <w:rPr>
            <w:noProof/>
            <w:webHidden/>
          </w:rPr>
          <w:fldChar w:fldCharType="end"/>
        </w:r>
      </w:hyperlink>
    </w:p>
    <w:p w:rsidR="00D2419C" w:rsidRDefault="00A1370F" w14:paraId="7E1A808B" w14:textId="712F0555">
      <w:pPr>
        <w:pStyle w:val="TOC2"/>
        <w:rPr>
          <w:rFonts w:eastAsiaTheme="minorEastAsia"/>
          <w:noProof/>
          <w:lang w:eastAsia="en-GB"/>
        </w:rPr>
      </w:pPr>
      <w:hyperlink w:history="1" w:anchor="_Toc71369599">
        <w:r w:rsidRPr="008F7287" w:rsidR="00D2419C">
          <w:rPr>
            <w:rStyle w:val="Hyperlink"/>
            <w:noProof/>
          </w:rPr>
          <w:t>4.12</w:t>
        </w:r>
        <w:r w:rsidR="00D2419C">
          <w:rPr>
            <w:rFonts w:eastAsiaTheme="minorEastAsia"/>
            <w:noProof/>
            <w:lang w:eastAsia="en-GB"/>
          </w:rPr>
          <w:tab/>
        </w:r>
        <w:r w:rsidRPr="008F7287" w:rsidR="00D2419C">
          <w:rPr>
            <w:rStyle w:val="Hyperlink"/>
            <w:noProof/>
          </w:rPr>
          <w:t>Any other comments</w:t>
        </w:r>
        <w:r w:rsidR="00D2419C">
          <w:rPr>
            <w:noProof/>
            <w:webHidden/>
          </w:rPr>
          <w:tab/>
        </w:r>
        <w:r w:rsidR="00D2419C">
          <w:rPr>
            <w:noProof/>
            <w:webHidden/>
          </w:rPr>
          <w:fldChar w:fldCharType="begin"/>
        </w:r>
        <w:r w:rsidR="00D2419C">
          <w:rPr>
            <w:noProof/>
            <w:webHidden/>
          </w:rPr>
          <w:instrText xml:space="preserve"> PAGEREF _Toc71369599 \h </w:instrText>
        </w:r>
        <w:r w:rsidR="00D2419C">
          <w:rPr>
            <w:noProof/>
            <w:webHidden/>
          </w:rPr>
        </w:r>
        <w:r w:rsidR="00D2419C">
          <w:rPr>
            <w:noProof/>
            <w:webHidden/>
          </w:rPr>
          <w:fldChar w:fldCharType="separate"/>
        </w:r>
        <w:r w:rsidR="00D2419C">
          <w:rPr>
            <w:noProof/>
            <w:webHidden/>
          </w:rPr>
          <w:t>31</w:t>
        </w:r>
        <w:r w:rsidR="00D2419C">
          <w:rPr>
            <w:noProof/>
            <w:webHidden/>
          </w:rPr>
          <w:fldChar w:fldCharType="end"/>
        </w:r>
      </w:hyperlink>
    </w:p>
    <w:p w:rsidR="00D2419C" w:rsidRDefault="00A1370F" w14:paraId="59C2470F" w14:textId="264ADAA6">
      <w:pPr>
        <w:pStyle w:val="TOC1"/>
        <w:rPr>
          <w:rFonts w:eastAsiaTheme="minorEastAsia"/>
          <w:noProof/>
          <w:lang w:eastAsia="en-GB"/>
        </w:rPr>
      </w:pPr>
      <w:hyperlink w:history="1" w:anchor="_Toc71369600">
        <w:r w:rsidRPr="008F7287" w:rsidR="00D2419C">
          <w:rPr>
            <w:rStyle w:val="Hyperlink"/>
            <w:noProof/>
          </w:rPr>
          <w:t>5</w:t>
        </w:r>
        <w:r w:rsidR="00D2419C">
          <w:rPr>
            <w:rFonts w:eastAsiaTheme="minorEastAsia"/>
            <w:noProof/>
            <w:lang w:eastAsia="en-GB"/>
          </w:rPr>
          <w:tab/>
        </w:r>
        <w:r w:rsidRPr="008F7287" w:rsidR="00D2419C">
          <w:rPr>
            <w:rStyle w:val="Hyperlink"/>
            <w:noProof/>
          </w:rPr>
          <w:t>Appendices</w:t>
        </w:r>
        <w:r w:rsidR="00D2419C">
          <w:rPr>
            <w:noProof/>
            <w:webHidden/>
          </w:rPr>
          <w:tab/>
        </w:r>
        <w:r w:rsidR="00D2419C">
          <w:rPr>
            <w:noProof/>
            <w:webHidden/>
          </w:rPr>
          <w:fldChar w:fldCharType="begin"/>
        </w:r>
        <w:r w:rsidR="00D2419C">
          <w:rPr>
            <w:noProof/>
            <w:webHidden/>
          </w:rPr>
          <w:instrText xml:space="preserve"> PAGEREF _Toc71369600 \h </w:instrText>
        </w:r>
        <w:r w:rsidR="00D2419C">
          <w:rPr>
            <w:noProof/>
            <w:webHidden/>
          </w:rPr>
        </w:r>
        <w:r w:rsidR="00D2419C">
          <w:rPr>
            <w:noProof/>
            <w:webHidden/>
          </w:rPr>
          <w:fldChar w:fldCharType="separate"/>
        </w:r>
        <w:r w:rsidR="00D2419C">
          <w:rPr>
            <w:noProof/>
            <w:webHidden/>
          </w:rPr>
          <w:t>32</w:t>
        </w:r>
        <w:r w:rsidR="00D2419C">
          <w:rPr>
            <w:noProof/>
            <w:webHidden/>
          </w:rPr>
          <w:fldChar w:fldCharType="end"/>
        </w:r>
      </w:hyperlink>
    </w:p>
    <w:p w:rsidR="00D2419C" w:rsidRDefault="00A1370F" w14:paraId="0D2D0051" w14:textId="739AEF32">
      <w:pPr>
        <w:pStyle w:val="TOC2"/>
        <w:rPr>
          <w:rFonts w:eastAsiaTheme="minorEastAsia"/>
          <w:noProof/>
          <w:lang w:eastAsia="en-GB"/>
        </w:rPr>
      </w:pPr>
      <w:hyperlink w:history="1" w:anchor="_Toc71369601">
        <w:r w:rsidRPr="008F7287" w:rsidR="00D2419C">
          <w:rPr>
            <w:rStyle w:val="Hyperlink"/>
            <w:noProof/>
          </w:rPr>
          <w:t>5.1</w:t>
        </w:r>
        <w:r w:rsidR="00D2419C">
          <w:rPr>
            <w:rFonts w:eastAsiaTheme="minorEastAsia"/>
            <w:noProof/>
            <w:lang w:eastAsia="en-GB"/>
          </w:rPr>
          <w:tab/>
        </w:r>
        <w:r w:rsidRPr="008F7287" w:rsidR="00D2419C">
          <w:rPr>
            <w:rStyle w:val="Hyperlink"/>
            <w:noProof/>
            <w:lang w:val="it-IT"/>
          </w:rPr>
          <w:t>Appendix 1 - UPI Overview</w:t>
        </w:r>
        <w:r w:rsidR="00D2419C">
          <w:rPr>
            <w:noProof/>
            <w:webHidden/>
          </w:rPr>
          <w:tab/>
        </w:r>
        <w:r w:rsidR="00D2419C">
          <w:rPr>
            <w:noProof/>
            <w:webHidden/>
          </w:rPr>
          <w:fldChar w:fldCharType="begin"/>
        </w:r>
        <w:r w:rsidR="00D2419C">
          <w:rPr>
            <w:noProof/>
            <w:webHidden/>
          </w:rPr>
          <w:instrText xml:space="preserve"> PAGEREF _Toc71369601 \h </w:instrText>
        </w:r>
        <w:r w:rsidR="00D2419C">
          <w:rPr>
            <w:noProof/>
            <w:webHidden/>
          </w:rPr>
        </w:r>
        <w:r w:rsidR="00D2419C">
          <w:rPr>
            <w:noProof/>
            <w:webHidden/>
          </w:rPr>
          <w:fldChar w:fldCharType="separate"/>
        </w:r>
        <w:r w:rsidR="00D2419C">
          <w:rPr>
            <w:noProof/>
            <w:webHidden/>
          </w:rPr>
          <w:t>32</w:t>
        </w:r>
        <w:r w:rsidR="00D2419C">
          <w:rPr>
            <w:noProof/>
            <w:webHidden/>
          </w:rPr>
          <w:fldChar w:fldCharType="end"/>
        </w:r>
      </w:hyperlink>
    </w:p>
    <w:p w:rsidR="00D2419C" w:rsidRDefault="00A1370F" w14:paraId="1271CC31" w14:textId="6CA61360">
      <w:pPr>
        <w:pStyle w:val="TOC3"/>
        <w:rPr>
          <w:rFonts w:eastAsiaTheme="minorEastAsia"/>
          <w:noProof/>
          <w:lang w:eastAsia="en-GB"/>
        </w:rPr>
      </w:pPr>
      <w:hyperlink w:history="1" w:anchor="_Toc71369602">
        <w:r w:rsidRPr="008F7287" w:rsidR="00D2419C">
          <w:rPr>
            <w:rStyle w:val="Hyperlink"/>
            <w:noProof/>
          </w:rPr>
          <w:t>5.1.1</w:t>
        </w:r>
        <w:r w:rsidR="00D2419C">
          <w:rPr>
            <w:rFonts w:eastAsiaTheme="minorEastAsia"/>
            <w:noProof/>
            <w:lang w:eastAsia="en-GB"/>
          </w:rPr>
          <w:tab/>
        </w:r>
        <w:r w:rsidRPr="008F7287" w:rsidR="00D2419C">
          <w:rPr>
            <w:rStyle w:val="Hyperlink"/>
            <w:noProof/>
          </w:rPr>
          <w:t>Purpose of the UPI</w:t>
        </w:r>
        <w:r w:rsidR="00D2419C">
          <w:rPr>
            <w:noProof/>
            <w:webHidden/>
          </w:rPr>
          <w:tab/>
        </w:r>
        <w:r w:rsidR="00D2419C">
          <w:rPr>
            <w:noProof/>
            <w:webHidden/>
          </w:rPr>
          <w:fldChar w:fldCharType="begin"/>
        </w:r>
        <w:r w:rsidR="00D2419C">
          <w:rPr>
            <w:noProof/>
            <w:webHidden/>
          </w:rPr>
          <w:instrText xml:space="preserve"> PAGEREF _Toc71369602 \h </w:instrText>
        </w:r>
        <w:r w:rsidR="00D2419C">
          <w:rPr>
            <w:noProof/>
            <w:webHidden/>
          </w:rPr>
        </w:r>
        <w:r w:rsidR="00D2419C">
          <w:rPr>
            <w:noProof/>
            <w:webHidden/>
          </w:rPr>
          <w:fldChar w:fldCharType="separate"/>
        </w:r>
        <w:r w:rsidR="00D2419C">
          <w:rPr>
            <w:noProof/>
            <w:webHidden/>
          </w:rPr>
          <w:t>32</w:t>
        </w:r>
        <w:r w:rsidR="00D2419C">
          <w:rPr>
            <w:noProof/>
            <w:webHidden/>
          </w:rPr>
          <w:fldChar w:fldCharType="end"/>
        </w:r>
      </w:hyperlink>
    </w:p>
    <w:p w:rsidR="00D2419C" w:rsidRDefault="00A1370F" w14:paraId="32B32016" w14:textId="6A543009">
      <w:pPr>
        <w:pStyle w:val="TOC2"/>
        <w:rPr>
          <w:rFonts w:eastAsiaTheme="minorEastAsia"/>
          <w:noProof/>
          <w:lang w:eastAsia="en-GB"/>
        </w:rPr>
      </w:pPr>
      <w:hyperlink w:history="1" w:anchor="_Toc71369603">
        <w:r w:rsidRPr="008F7287" w:rsidR="00D2419C">
          <w:rPr>
            <w:rStyle w:val="Hyperlink"/>
            <w:noProof/>
            <w:lang w:val="it-IT"/>
          </w:rPr>
          <w:t>5.2</w:t>
        </w:r>
        <w:r w:rsidR="00D2419C">
          <w:rPr>
            <w:rFonts w:eastAsiaTheme="minorEastAsia"/>
            <w:noProof/>
            <w:lang w:eastAsia="en-GB"/>
          </w:rPr>
          <w:tab/>
        </w:r>
        <w:r w:rsidRPr="008F7287" w:rsidR="00D2419C">
          <w:rPr>
            <w:rStyle w:val="Hyperlink"/>
            <w:noProof/>
            <w:lang w:val="it-IT"/>
          </w:rPr>
          <w:t>Appendix 2 - Governance Arrangements</w:t>
        </w:r>
        <w:r w:rsidR="00D2419C">
          <w:rPr>
            <w:noProof/>
            <w:webHidden/>
          </w:rPr>
          <w:tab/>
        </w:r>
        <w:r w:rsidR="00D2419C">
          <w:rPr>
            <w:noProof/>
            <w:webHidden/>
          </w:rPr>
          <w:fldChar w:fldCharType="begin"/>
        </w:r>
        <w:r w:rsidR="00D2419C">
          <w:rPr>
            <w:noProof/>
            <w:webHidden/>
          </w:rPr>
          <w:instrText xml:space="preserve"> PAGEREF _Toc71369603 \h </w:instrText>
        </w:r>
        <w:r w:rsidR="00D2419C">
          <w:rPr>
            <w:noProof/>
            <w:webHidden/>
          </w:rPr>
        </w:r>
        <w:r w:rsidR="00D2419C">
          <w:rPr>
            <w:noProof/>
            <w:webHidden/>
          </w:rPr>
          <w:fldChar w:fldCharType="separate"/>
        </w:r>
        <w:r w:rsidR="00D2419C">
          <w:rPr>
            <w:noProof/>
            <w:webHidden/>
          </w:rPr>
          <w:t>33</w:t>
        </w:r>
        <w:r w:rsidR="00D2419C">
          <w:rPr>
            <w:noProof/>
            <w:webHidden/>
          </w:rPr>
          <w:fldChar w:fldCharType="end"/>
        </w:r>
      </w:hyperlink>
    </w:p>
    <w:p w:rsidR="00D2419C" w:rsidRDefault="00A1370F" w14:paraId="1CE2ACE2" w14:textId="73B273C1">
      <w:pPr>
        <w:pStyle w:val="TOC3"/>
        <w:rPr>
          <w:rFonts w:eastAsiaTheme="minorEastAsia"/>
          <w:noProof/>
          <w:lang w:eastAsia="en-GB"/>
        </w:rPr>
      </w:pPr>
      <w:hyperlink w:history="1" w:anchor="_Toc71369604">
        <w:r w:rsidRPr="008F7287" w:rsidR="00D2419C">
          <w:rPr>
            <w:rStyle w:val="Hyperlink"/>
            <w:noProof/>
          </w:rPr>
          <w:t>5.2.1</w:t>
        </w:r>
        <w:r w:rsidR="00D2419C">
          <w:rPr>
            <w:rFonts w:eastAsiaTheme="minorEastAsia"/>
            <w:noProof/>
            <w:lang w:eastAsia="en-GB"/>
          </w:rPr>
          <w:tab/>
        </w:r>
        <w:r w:rsidRPr="008F7287" w:rsidR="00D2419C">
          <w:rPr>
            <w:rStyle w:val="Hyperlink"/>
            <w:noProof/>
          </w:rPr>
          <w:t>UPI Governance Components</w:t>
        </w:r>
        <w:r w:rsidR="00D2419C">
          <w:rPr>
            <w:noProof/>
            <w:webHidden/>
          </w:rPr>
          <w:tab/>
        </w:r>
        <w:r w:rsidR="00D2419C">
          <w:rPr>
            <w:noProof/>
            <w:webHidden/>
          </w:rPr>
          <w:fldChar w:fldCharType="begin"/>
        </w:r>
        <w:r w:rsidR="00D2419C">
          <w:rPr>
            <w:noProof/>
            <w:webHidden/>
          </w:rPr>
          <w:instrText xml:space="preserve"> PAGEREF _Toc71369604 \h </w:instrText>
        </w:r>
        <w:r w:rsidR="00D2419C">
          <w:rPr>
            <w:noProof/>
            <w:webHidden/>
          </w:rPr>
        </w:r>
        <w:r w:rsidR="00D2419C">
          <w:rPr>
            <w:noProof/>
            <w:webHidden/>
          </w:rPr>
          <w:fldChar w:fldCharType="separate"/>
        </w:r>
        <w:r w:rsidR="00D2419C">
          <w:rPr>
            <w:noProof/>
            <w:webHidden/>
          </w:rPr>
          <w:t>33</w:t>
        </w:r>
        <w:r w:rsidR="00D2419C">
          <w:rPr>
            <w:noProof/>
            <w:webHidden/>
          </w:rPr>
          <w:fldChar w:fldCharType="end"/>
        </w:r>
      </w:hyperlink>
    </w:p>
    <w:p w:rsidR="00D2419C" w:rsidRDefault="00A1370F" w14:paraId="3F0F191E" w14:textId="1E34A3D3">
      <w:pPr>
        <w:pStyle w:val="TOC3"/>
        <w:rPr>
          <w:rFonts w:eastAsiaTheme="minorEastAsia"/>
          <w:noProof/>
          <w:lang w:eastAsia="en-GB"/>
        </w:rPr>
      </w:pPr>
      <w:hyperlink w:history="1" w:anchor="_Toc71369605">
        <w:r w:rsidRPr="008F7287" w:rsidR="00D2419C">
          <w:rPr>
            <w:rStyle w:val="Hyperlink"/>
            <w:noProof/>
          </w:rPr>
          <w:t>5.2.2</w:t>
        </w:r>
        <w:r w:rsidR="00D2419C">
          <w:rPr>
            <w:rFonts w:eastAsiaTheme="minorEastAsia"/>
            <w:noProof/>
            <w:lang w:eastAsia="en-GB"/>
          </w:rPr>
          <w:tab/>
        </w:r>
        <w:r w:rsidRPr="008F7287" w:rsidR="00D2419C">
          <w:rPr>
            <w:rStyle w:val="Hyperlink"/>
            <w:noProof/>
          </w:rPr>
          <w:t>UPI Governance Criteria</w:t>
        </w:r>
        <w:r w:rsidR="00D2419C">
          <w:rPr>
            <w:noProof/>
            <w:webHidden/>
          </w:rPr>
          <w:tab/>
        </w:r>
        <w:r w:rsidR="00D2419C">
          <w:rPr>
            <w:noProof/>
            <w:webHidden/>
          </w:rPr>
          <w:fldChar w:fldCharType="begin"/>
        </w:r>
        <w:r w:rsidR="00D2419C">
          <w:rPr>
            <w:noProof/>
            <w:webHidden/>
          </w:rPr>
          <w:instrText xml:space="preserve"> PAGEREF _Toc71369605 \h </w:instrText>
        </w:r>
        <w:r w:rsidR="00D2419C">
          <w:rPr>
            <w:noProof/>
            <w:webHidden/>
          </w:rPr>
        </w:r>
        <w:r w:rsidR="00D2419C">
          <w:rPr>
            <w:noProof/>
            <w:webHidden/>
          </w:rPr>
          <w:fldChar w:fldCharType="separate"/>
        </w:r>
        <w:r w:rsidR="00D2419C">
          <w:rPr>
            <w:noProof/>
            <w:webHidden/>
          </w:rPr>
          <w:t>37</w:t>
        </w:r>
        <w:r w:rsidR="00D2419C">
          <w:rPr>
            <w:noProof/>
            <w:webHidden/>
          </w:rPr>
          <w:fldChar w:fldCharType="end"/>
        </w:r>
      </w:hyperlink>
    </w:p>
    <w:p w:rsidR="00D2419C" w:rsidRDefault="00A1370F" w14:paraId="41436486" w14:textId="750CB642">
      <w:pPr>
        <w:pStyle w:val="TOC2"/>
        <w:rPr>
          <w:rFonts w:eastAsiaTheme="minorEastAsia"/>
          <w:noProof/>
          <w:lang w:eastAsia="en-GB"/>
        </w:rPr>
      </w:pPr>
      <w:hyperlink w:history="1" w:anchor="_Toc71369606">
        <w:r w:rsidRPr="008F7287" w:rsidR="00D2419C">
          <w:rPr>
            <w:rStyle w:val="Hyperlink"/>
            <w:noProof/>
            <w:lang w:val="it-IT"/>
          </w:rPr>
          <w:t>5.3</w:t>
        </w:r>
        <w:r w:rsidR="00D2419C">
          <w:rPr>
            <w:rFonts w:eastAsiaTheme="minorEastAsia"/>
            <w:noProof/>
            <w:lang w:eastAsia="en-GB"/>
          </w:rPr>
          <w:tab/>
        </w:r>
        <w:r w:rsidRPr="008F7287" w:rsidR="00D2419C">
          <w:rPr>
            <w:rStyle w:val="Hyperlink"/>
            <w:noProof/>
            <w:lang w:val="it-IT"/>
          </w:rPr>
          <w:t>Appendix 4 – Assumptions</w:t>
        </w:r>
        <w:r w:rsidR="00D2419C">
          <w:rPr>
            <w:noProof/>
            <w:webHidden/>
          </w:rPr>
          <w:tab/>
        </w:r>
        <w:r w:rsidR="00D2419C">
          <w:rPr>
            <w:noProof/>
            <w:webHidden/>
          </w:rPr>
          <w:fldChar w:fldCharType="begin"/>
        </w:r>
        <w:r w:rsidR="00D2419C">
          <w:rPr>
            <w:noProof/>
            <w:webHidden/>
          </w:rPr>
          <w:instrText xml:space="preserve"> PAGEREF _Toc71369606 \h </w:instrText>
        </w:r>
        <w:r w:rsidR="00D2419C">
          <w:rPr>
            <w:noProof/>
            <w:webHidden/>
          </w:rPr>
        </w:r>
        <w:r w:rsidR="00D2419C">
          <w:rPr>
            <w:noProof/>
            <w:webHidden/>
          </w:rPr>
          <w:fldChar w:fldCharType="separate"/>
        </w:r>
        <w:r w:rsidR="00D2419C">
          <w:rPr>
            <w:noProof/>
            <w:webHidden/>
          </w:rPr>
          <w:t>38</w:t>
        </w:r>
        <w:r w:rsidR="00D2419C">
          <w:rPr>
            <w:noProof/>
            <w:webHidden/>
          </w:rPr>
          <w:fldChar w:fldCharType="end"/>
        </w:r>
      </w:hyperlink>
    </w:p>
    <w:p w:rsidR="00D2419C" w:rsidRDefault="00A1370F" w14:paraId="51742D3D" w14:textId="186D88B0">
      <w:pPr>
        <w:pStyle w:val="TOC3"/>
        <w:rPr>
          <w:rFonts w:eastAsiaTheme="minorEastAsia"/>
          <w:noProof/>
          <w:lang w:eastAsia="en-GB"/>
        </w:rPr>
      </w:pPr>
      <w:hyperlink w:history="1" w:anchor="_Toc71369607">
        <w:r w:rsidRPr="008F7287" w:rsidR="00D2419C">
          <w:rPr>
            <w:rStyle w:val="Hyperlink"/>
            <w:noProof/>
          </w:rPr>
          <w:t>5.3.1</w:t>
        </w:r>
        <w:r w:rsidR="00D2419C">
          <w:rPr>
            <w:rFonts w:eastAsiaTheme="minorEastAsia"/>
            <w:noProof/>
            <w:lang w:eastAsia="en-GB"/>
          </w:rPr>
          <w:tab/>
        </w:r>
        <w:r w:rsidRPr="008F7287" w:rsidR="00D2419C">
          <w:rPr>
            <w:rStyle w:val="Hyperlink"/>
            <w:noProof/>
          </w:rPr>
          <w:t>Leveraging the DSB’s Existing Service Provision</w:t>
        </w:r>
        <w:r w:rsidR="00D2419C">
          <w:rPr>
            <w:noProof/>
            <w:webHidden/>
          </w:rPr>
          <w:tab/>
        </w:r>
        <w:r w:rsidR="00D2419C">
          <w:rPr>
            <w:noProof/>
            <w:webHidden/>
          </w:rPr>
          <w:fldChar w:fldCharType="begin"/>
        </w:r>
        <w:r w:rsidR="00D2419C">
          <w:rPr>
            <w:noProof/>
            <w:webHidden/>
          </w:rPr>
          <w:instrText xml:space="preserve"> PAGEREF _Toc71369607 \h </w:instrText>
        </w:r>
        <w:r w:rsidR="00D2419C">
          <w:rPr>
            <w:noProof/>
            <w:webHidden/>
          </w:rPr>
        </w:r>
        <w:r w:rsidR="00D2419C">
          <w:rPr>
            <w:noProof/>
            <w:webHidden/>
          </w:rPr>
          <w:fldChar w:fldCharType="separate"/>
        </w:r>
        <w:r w:rsidR="00D2419C">
          <w:rPr>
            <w:noProof/>
            <w:webHidden/>
          </w:rPr>
          <w:t>39</w:t>
        </w:r>
        <w:r w:rsidR="00D2419C">
          <w:rPr>
            <w:noProof/>
            <w:webHidden/>
          </w:rPr>
          <w:fldChar w:fldCharType="end"/>
        </w:r>
      </w:hyperlink>
    </w:p>
    <w:p w:rsidR="00D2419C" w:rsidRDefault="00A1370F" w14:paraId="70F85EB7" w14:textId="1AC74E08">
      <w:pPr>
        <w:pStyle w:val="TOC3"/>
        <w:rPr>
          <w:rFonts w:eastAsiaTheme="minorEastAsia"/>
          <w:noProof/>
          <w:lang w:eastAsia="en-GB"/>
        </w:rPr>
      </w:pPr>
      <w:hyperlink w:history="1" w:anchor="_Toc71369608">
        <w:r w:rsidRPr="008F7287" w:rsidR="00D2419C">
          <w:rPr>
            <w:rStyle w:val="Hyperlink"/>
            <w:noProof/>
          </w:rPr>
          <w:t>5.3.2</w:t>
        </w:r>
        <w:r w:rsidR="00D2419C">
          <w:rPr>
            <w:rFonts w:eastAsiaTheme="minorEastAsia"/>
            <w:noProof/>
            <w:lang w:eastAsia="en-GB"/>
          </w:rPr>
          <w:tab/>
        </w:r>
        <w:r w:rsidRPr="008F7287" w:rsidR="00D2419C">
          <w:rPr>
            <w:rStyle w:val="Hyperlink"/>
            <w:noProof/>
          </w:rPr>
          <w:t>Alignment of the UPI with other internationally recognised data standards</w:t>
        </w:r>
        <w:r w:rsidR="00D2419C">
          <w:rPr>
            <w:noProof/>
            <w:webHidden/>
          </w:rPr>
          <w:tab/>
        </w:r>
        <w:r w:rsidR="00D2419C">
          <w:rPr>
            <w:noProof/>
            <w:webHidden/>
          </w:rPr>
          <w:fldChar w:fldCharType="begin"/>
        </w:r>
        <w:r w:rsidR="00D2419C">
          <w:rPr>
            <w:noProof/>
            <w:webHidden/>
          </w:rPr>
          <w:instrText xml:space="preserve"> PAGEREF _Toc71369608 \h </w:instrText>
        </w:r>
        <w:r w:rsidR="00D2419C">
          <w:rPr>
            <w:noProof/>
            <w:webHidden/>
          </w:rPr>
        </w:r>
        <w:r w:rsidR="00D2419C">
          <w:rPr>
            <w:noProof/>
            <w:webHidden/>
          </w:rPr>
          <w:fldChar w:fldCharType="separate"/>
        </w:r>
        <w:r w:rsidR="00D2419C">
          <w:rPr>
            <w:noProof/>
            <w:webHidden/>
          </w:rPr>
          <w:t>41</w:t>
        </w:r>
        <w:r w:rsidR="00D2419C">
          <w:rPr>
            <w:noProof/>
            <w:webHidden/>
          </w:rPr>
          <w:fldChar w:fldCharType="end"/>
        </w:r>
      </w:hyperlink>
    </w:p>
    <w:p w:rsidR="00D2419C" w:rsidRDefault="00A1370F" w14:paraId="03567F5B" w14:textId="5A08E046">
      <w:pPr>
        <w:pStyle w:val="TOC3"/>
        <w:rPr>
          <w:rFonts w:eastAsiaTheme="minorEastAsia"/>
          <w:noProof/>
          <w:lang w:eastAsia="en-GB"/>
        </w:rPr>
      </w:pPr>
      <w:hyperlink w:history="1" w:anchor="_Toc71369609">
        <w:r w:rsidRPr="008F7287" w:rsidR="00D2419C">
          <w:rPr>
            <w:rStyle w:val="Hyperlink"/>
            <w:noProof/>
          </w:rPr>
          <w:t>5.3.3</w:t>
        </w:r>
        <w:r w:rsidR="00D2419C">
          <w:rPr>
            <w:rFonts w:eastAsiaTheme="minorEastAsia"/>
            <w:noProof/>
            <w:lang w:eastAsia="en-GB"/>
          </w:rPr>
          <w:tab/>
        </w:r>
        <w:r w:rsidRPr="008F7287" w:rsidR="00D2419C">
          <w:rPr>
            <w:rStyle w:val="Hyperlink"/>
            <w:noProof/>
          </w:rPr>
          <w:t>Product definitions for the UPI</w:t>
        </w:r>
        <w:r w:rsidR="00D2419C">
          <w:rPr>
            <w:noProof/>
            <w:webHidden/>
          </w:rPr>
          <w:tab/>
        </w:r>
        <w:r w:rsidR="00D2419C">
          <w:rPr>
            <w:noProof/>
            <w:webHidden/>
          </w:rPr>
          <w:fldChar w:fldCharType="begin"/>
        </w:r>
        <w:r w:rsidR="00D2419C">
          <w:rPr>
            <w:noProof/>
            <w:webHidden/>
          </w:rPr>
          <w:instrText xml:space="preserve"> PAGEREF _Toc71369609 \h </w:instrText>
        </w:r>
        <w:r w:rsidR="00D2419C">
          <w:rPr>
            <w:noProof/>
            <w:webHidden/>
          </w:rPr>
        </w:r>
        <w:r w:rsidR="00D2419C">
          <w:rPr>
            <w:noProof/>
            <w:webHidden/>
          </w:rPr>
          <w:fldChar w:fldCharType="separate"/>
        </w:r>
        <w:r w:rsidR="00D2419C">
          <w:rPr>
            <w:noProof/>
            <w:webHidden/>
          </w:rPr>
          <w:t>43</w:t>
        </w:r>
        <w:r w:rsidR="00D2419C">
          <w:rPr>
            <w:noProof/>
            <w:webHidden/>
          </w:rPr>
          <w:fldChar w:fldCharType="end"/>
        </w:r>
      </w:hyperlink>
    </w:p>
    <w:p w:rsidR="00D2419C" w:rsidRDefault="00A1370F" w14:paraId="286076B0" w14:textId="29867D2D">
      <w:pPr>
        <w:pStyle w:val="TOC3"/>
        <w:rPr>
          <w:rFonts w:eastAsiaTheme="minorEastAsia"/>
          <w:noProof/>
          <w:lang w:eastAsia="en-GB"/>
        </w:rPr>
      </w:pPr>
      <w:hyperlink w:history="1" w:anchor="_Toc71369610">
        <w:r w:rsidRPr="008F7287" w:rsidR="00D2419C">
          <w:rPr>
            <w:rStyle w:val="Hyperlink"/>
            <w:noProof/>
          </w:rPr>
          <w:t>5.3.4</w:t>
        </w:r>
        <w:r w:rsidR="00D2419C">
          <w:rPr>
            <w:rFonts w:eastAsiaTheme="minorEastAsia"/>
            <w:noProof/>
            <w:lang w:eastAsia="en-GB"/>
          </w:rPr>
          <w:tab/>
        </w:r>
        <w:r w:rsidRPr="008F7287" w:rsidR="00D2419C">
          <w:rPr>
            <w:rStyle w:val="Hyperlink"/>
            <w:noProof/>
          </w:rPr>
          <w:t>UPI Creation Estimates</w:t>
        </w:r>
        <w:r w:rsidR="00D2419C">
          <w:rPr>
            <w:noProof/>
            <w:webHidden/>
          </w:rPr>
          <w:tab/>
        </w:r>
        <w:r w:rsidR="00D2419C">
          <w:rPr>
            <w:noProof/>
            <w:webHidden/>
          </w:rPr>
          <w:fldChar w:fldCharType="begin"/>
        </w:r>
        <w:r w:rsidR="00D2419C">
          <w:rPr>
            <w:noProof/>
            <w:webHidden/>
          </w:rPr>
          <w:instrText xml:space="preserve"> PAGEREF _Toc71369610 \h </w:instrText>
        </w:r>
        <w:r w:rsidR="00D2419C">
          <w:rPr>
            <w:noProof/>
            <w:webHidden/>
          </w:rPr>
        </w:r>
        <w:r w:rsidR="00D2419C">
          <w:rPr>
            <w:noProof/>
            <w:webHidden/>
          </w:rPr>
          <w:fldChar w:fldCharType="separate"/>
        </w:r>
        <w:r w:rsidR="00D2419C">
          <w:rPr>
            <w:noProof/>
            <w:webHidden/>
          </w:rPr>
          <w:t>43</w:t>
        </w:r>
        <w:r w:rsidR="00D2419C">
          <w:rPr>
            <w:noProof/>
            <w:webHidden/>
          </w:rPr>
          <w:fldChar w:fldCharType="end"/>
        </w:r>
      </w:hyperlink>
    </w:p>
    <w:p w:rsidR="00D2419C" w:rsidRDefault="00A1370F" w14:paraId="17B6135C" w14:textId="2ADE17FD">
      <w:pPr>
        <w:pStyle w:val="TOC1"/>
        <w:rPr>
          <w:rFonts w:eastAsiaTheme="minorEastAsia"/>
          <w:noProof/>
          <w:lang w:eastAsia="en-GB"/>
        </w:rPr>
      </w:pPr>
      <w:hyperlink w:history="1" w:anchor="_Toc71369611">
        <w:r w:rsidRPr="008F7287" w:rsidR="00D2419C">
          <w:rPr>
            <w:rStyle w:val="Hyperlink"/>
            <w:noProof/>
          </w:rPr>
          <w:t>6</w:t>
        </w:r>
        <w:r w:rsidR="00D2419C">
          <w:rPr>
            <w:rFonts w:eastAsiaTheme="minorEastAsia"/>
            <w:noProof/>
            <w:lang w:eastAsia="en-GB"/>
          </w:rPr>
          <w:tab/>
        </w:r>
        <w:r w:rsidRPr="008F7287" w:rsidR="00D2419C">
          <w:rPr>
            <w:rStyle w:val="Hyperlink"/>
            <w:noProof/>
          </w:rPr>
          <w:t>Feedback Form - Summary of Questions for Industry Response</w:t>
        </w:r>
        <w:r w:rsidR="00D2419C">
          <w:rPr>
            <w:noProof/>
            <w:webHidden/>
          </w:rPr>
          <w:tab/>
        </w:r>
        <w:r w:rsidR="00D2419C">
          <w:rPr>
            <w:noProof/>
            <w:webHidden/>
          </w:rPr>
          <w:fldChar w:fldCharType="begin"/>
        </w:r>
        <w:r w:rsidR="00D2419C">
          <w:rPr>
            <w:noProof/>
            <w:webHidden/>
          </w:rPr>
          <w:instrText xml:space="preserve"> PAGEREF _Toc71369611 \h </w:instrText>
        </w:r>
        <w:r w:rsidR="00D2419C">
          <w:rPr>
            <w:noProof/>
            <w:webHidden/>
          </w:rPr>
        </w:r>
        <w:r w:rsidR="00D2419C">
          <w:rPr>
            <w:noProof/>
            <w:webHidden/>
          </w:rPr>
          <w:fldChar w:fldCharType="separate"/>
        </w:r>
        <w:r w:rsidR="00D2419C">
          <w:rPr>
            <w:noProof/>
            <w:webHidden/>
          </w:rPr>
          <w:t>47</w:t>
        </w:r>
        <w:r w:rsidR="00D2419C">
          <w:rPr>
            <w:noProof/>
            <w:webHidden/>
          </w:rPr>
          <w:fldChar w:fldCharType="end"/>
        </w:r>
      </w:hyperlink>
    </w:p>
    <w:p w:rsidR="00F73E49" w:rsidP="00AB4C9D" w:rsidRDefault="00F73E49" w14:paraId="3526133C" w14:textId="7F4F5CC4">
      <w:pPr>
        <w:jc w:val="both"/>
      </w:pPr>
      <w:r>
        <w:rPr>
          <w:b/>
          <w:bCs/>
          <w:noProof/>
        </w:rPr>
        <w:fldChar w:fldCharType="end"/>
      </w:r>
    </w:p>
    <w:p w:rsidR="00F73E49" w:rsidP="00AB4C9D" w:rsidRDefault="00F73E49" w14:paraId="10BCB8F2" w14:textId="77777777">
      <w:pPr>
        <w:jc w:val="both"/>
        <w:rPr>
          <w:rFonts w:asciiTheme="majorHAnsi" w:hAnsiTheme="majorHAnsi" w:eastAsiaTheme="majorEastAsia" w:cstheme="majorBidi"/>
          <w:color w:val="365F91" w:themeColor="accent1" w:themeShade="BF"/>
          <w:sz w:val="32"/>
          <w:szCs w:val="32"/>
        </w:rPr>
      </w:pPr>
      <w:r>
        <w:br w:type="page"/>
      </w:r>
    </w:p>
    <w:p w:rsidRPr="002E7343" w:rsidR="00F73E49" w:rsidP="00F73E49" w:rsidRDefault="00F73E49" w14:paraId="330FCEB7" w14:textId="77777777">
      <w:pPr>
        <w:pStyle w:val="Heading1"/>
        <w:spacing w:before="0" w:line="276" w:lineRule="auto"/>
        <w:jc w:val="both"/>
        <w:rPr>
          <w:color w:val="30AEB9"/>
        </w:rPr>
      </w:pPr>
      <w:bookmarkStart w:name="_Toc60651758" w:id="0"/>
      <w:bookmarkStart w:name="_Toc69801991" w:id="1"/>
      <w:bookmarkStart w:name="_Toc71369584" w:id="2"/>
      <w:bookmarkStart w:name="_Toc517783484" w:id="3"/>
      <w:bookmarkStart w:name="_Toc13087160" w:id="4"/>
      <w:bookmarkStart w:name="_Toc38842415" w:id="5"/>
      <w:r>
        <w:rPr>
          <w:color w:val="30AEB9"/>
        </w:rPr>
        <w:t>Executive Summary</w:t>
      </w:r>
      <w:bookmarkEnd w:id="0"/>
      <w:bookmarkEnd w:id="1"/>
      <w:bookmarkEnd w:id="2"/>
      <w:r>
        <w:rPr>
          <w:color w:val="30AEB9"/>
        </w:rPr>
        <w:t xml:space="preserve"> </w:t>
      </w:r>
    </w:p>
    <w:p w:rsidRPr="0048715D" w:rsidR="00F73E49" w:rsidP="00AB4C9D" w:rsidRDefault="00F73E49" w14:paraId="007A222B" w14:textId="77777777">
      <w:pPr>
        <w:jc w:val="both"/>
      </w:pPr>
      <w:r w:rsidRPr="0048715D">
        <w:t xml:space="preserve">The Association of National Numbering Agencies (“ANNA”) founded the Derivatives Service Bureau (DSB) for the allocation and maintenance of International Securities Identification Numbers (ISINs), Classification of Financial Instrument (CFI) codes and Financial Instrument Short Names (FISNs) for OTC derivatives. </w:t>
      </w:r>
    </w:p>
    <w:p w:rsidRPr="0048715D" w:rsidR="00F73E49" w:rsidP="00AB4C9D" w:rsidRDefault="00F73E49" w14:paraId="687D7D5F" w14:textId="77777777">
      <w:pPr>
        <w:jc w:val="both"/>
      </w:pPr>
      <w:r w:rsidRPr="0048715D">
        <w:t>The Financial Stability Board (FSB) announced on May 2, 2019 the designation of the DSB as the sole service provider for the future Unique Product Identifier (UPI) system</w:t>
      </w:r>
      <w:r w:rsidRPr="0048715D">
        <w:rPr>
          <w:rStyle w:val="FootnoteReference"/>
        </w:rPr>
        <w:footnoteReference w:id="2"/>
      </w:r>
      <w:r w:rsidRPr="0048715D">
        <w:t xml:space="preserve">, performing the function of issuer of UPIs as well as operator of the UPI reference data library. The DSB is working towards providing UPIs for OTC derivatives in the second half of 2022, which will help enable users, such as banks, strengthen risk data aggregation capabilities and internal risk reporting practices and assist regulatory authorities to aggregate data on OTC derivatives transactions to help assess systemic risk as outlined in the 2014 </w:t>
      </w:r>
      <w:r w:rsidRPr="0048715D">
        <w:rPr>
          <w:rStyle w:val="Hyperlink"/>
        </w:rPr>
        <w:t>FSB feasibility study on approaches to aggregate OTC derivatives data</w:t>
      </w:r>
      <w:r w:rsidRPr="0048715D">
        <w:rPr>
          <w:rStyle w:val="FootnoteReference"/>
        </w:rPr>
        <w:footnoteReference w:id="3"/>
      </w:r>
      <w:r w:rsidRPr="0048715D">
        <w:t>.</w:t>
      </w:r>
    </w:p>
    <w:p w:rsidR="0065134C" w:rsidP="00AB4C9D" w:rsidRDefault="00F73E49" w14:paraId="153F6A83" w14:textId="5805E82A">
      <w:pPr>
        <w:jc w:val="both"/>
      </w:pPr>
      <w:r>
        <w:t xml:space="preserve">The DSB seeks to design, deploy, and operate an efficient UPI service that leverages the capabilities of the existing services (e.g., CFI and OTC ISIN provision) to the extent practicable. As such the UPI fee model proposals set out in this paper are intended to build on the existing framework </w:t>
      </w:r>
      <w:r w:rsidR="000B5DAB">
        <w:t xml:space="preserve">whilst also </w:t>
      </w:r>
      <w:proofErr w:type="spellStart"/>
      <w:r>
        <w:t>recognis</w:t>
      </w:r>
      <w:r w:rsidR="000B5DAB">
        <w:t>ing</w:t>
      </w:r>
      <w:proofErr w:type="spellEnd"/>
      <w:r>
        <w:t xml:space="preserve"> that the UPI service will have specific and distinct needs.  </w:t>
      </w:r>
    </w:p>
    <w:p w:rsidR="00F73E49" w:rsidP="00AB4C9D" w:rsidRDefault="00461365" w14:paraId="313F96BB" w14:textId="0CD966C6">
      <w:pPr>
        <w:jc w:val="both"/>
      </w:pPr>
      <w:r>
        <w:t xml:space="preserve">Market feedback in the course of the UPI consultation process </w:t>
      </w:r>
      <w:r w:rsidR="00D8143A">
        <w:t xml:space="preserve">will </w:t>
      </w:r>
      <w:r>
        <w:t>determine</w:t>
      </w:r>
      <w:r w:rsidR="000F54C4">
        <w:t xml:space="preserve"> the target operating model </w:t>
      </w:r>
      <w:r w:rsidR="00197A61">
        <w:t>required for the</w:t>
      </w:r>
      <w:r w:rsidR="000F54C4">
        <w:t xml:space="preserve"> UPI service launch, which in turn has a direct impact on the overall </w:t>
      </w:r>
      <w:r w:rsidR="00770389">
        <w:t>build</w:t>
      </w:r>
      <w:r w:rsidR="000F54C4">
        <w:t xml:space="preserve"> and operational </w:t>
      </w:r>
      <w:r w:rsidRPr="00273790" w:rsidR="00273790">
        <w:t>cost</w:t>
      </w:r>
      <w:r w:rsidR="000F54C4">
        <w:t>s</w:t>
      </w:r>
      <w:r w:rsidRPr="00273790" w:rsidR="00273790">
        <w:t xml:space="preserve"> </w:t>
      </w:r>
      <w:r w:rsidR="000F54C4">
        <w:t xml:space="preserve">of the UPI service. </w:t>
      </w:r>
      <w:r w:rsidR="00D860C4">
        <w:t xml:space="preserve">The consultation process therefore </w:t>
      </w:r>
      <w:r w:rsidRPr="00273790" w:rsidR="00273790">
        <w:t>aims to get user views on key service provision elements</w:t>
      </w:r>
      <w:r w:rsidR="00D860C4">
        <w:t>, which together with Industry Representation Group</w:t>
      </w:r>
      <w:r w:rsidR="00CB073D">
        <w:rPr>
          <w:rStyle w:val="FootnoteReference"/>
        </w:rPr>
        <w:footnoteReference w:id="4"/>
      </w:r>
      <w:r w:rsidR="00D860C4">
        <w:t xml:space="preserve"> </w:t>
      </w:r>
      <w:r w:rsidRPr="00273790" w:rsidR="00273790">
        <w:t>feedback in relation to the un-costed elements</w:t>
      </w:r>
      <w:r w:rsidR="00685059">
        <w:t>,</w:t>
      </w:r>
      <w:r w:rsidRPr="00273790" w:rsidR="00273790">
        <w:t xml:space="preserve"> such as underlying reference data mapping provider(s)</w:t>
      </w:r>
      <w:r w:rsidR="00B130E5">
        <w:rPr>
          <w:rStyle w:val="FootnoteReference"/>
        </w:rPr>
        <w:footnoteReference w:id="5"/>
      </w:r>
      <w:r w:rsidR="00685059">
        <w:t>,</w:t>
      </w:r>
      <w:r w:rsidR="003F5F29">
        <w:t xml:space="preserve"> will determine the </w:t>
      </w:r>
      <w:r w:rsidR="00FD0A07">
        <w:t xml:space="preserve">estimate </w:t>
      </w:r>
      <w:r w:rsidR="00CB073D">
        <w:t xml:space="preserve">UPI cost </w:t>
      </w:r>
      <w:r w:rsidR="00FD0A07">
        <w:t xml:space="preserve">for </w:t>
      </w:r>
      <w:r w:rsidR="00CB073D">
        <w:t>determin</w:t>
      </w:r>
      <w:r w:rsidR="00FD0A07">
        <w:t>ation of</w:t>
      </w:r>
      <w:r w:rsidR="00CB073D">
        <w:t xml:space="preserve"> user fees</w:t>
      </w:r>
      <w:r w:rsidRPr="00273790" w:rsidR="00273790">
        <w:t>.</w:t>
      </w:r>
    </w:p>
    <w:p w:rsidR="00F73E49" w:rsidP="00AB4C9D" w:rsidRDefault="00F73E49" w14:paraId="6F86547B" w14:textId="77777777">
      <w:pPr>
        <w:jc w:val="both"/>
      </w:pPr>
      <w:r>
        <w:t>The first of two UPI consultation papers on principles that impact the UPI fee structure was published on 11</w:t>
      </w:r>
      <w:r w:rsidRPr="002D5C7C">
        <w:rPr>
          <w:vertAlign w:val="superscript"/>
        </w:rPr>
        <w:t>th</w:t>
      </w:r>
      <w:r>
        <w:t xml:space="preserve"> January 2021 and shared with approximately 2,600 individuals (including at trade associations) as well as widely circulated in the trade press across Asia, Europe and the US. The DSB also sent two reminders to all interested parties highlighting the goal of the consultation and the deadline for responses. The DSB sought to obtain feedback </w:t>
      </w:r>
      <w:r w:rsidRPr="00D844C3">
        <w:t>from as broad a spectrum of participants as possible</w:t>
      </w:r>
      <w:r>
        <w:t xml:space="preserve"> - </w:t>
      </w:r>
      <w:r w:rsidRPr="00D844C3">
        <w:t xml:space="preserve"> both in terms of geographic diversity as well as from a range of differing market structure participants.</w:t>
      </w:r>
    </w:p>
    <w:p w:rsidR="00F73E49" w:rsidP="00AB4C9D" w:rsidRDefault="00F73E49" w14:paraId="0F63D6A4" w14:textId="414BD3D6">
      <w:pPr>
        <w:jc w:val="both"/>
      </w:pPr>
      <w:r>
        <w:t xml:space="preserve">The DSB received a number of queries in response to this awareness generation campaign – from a mix of regional institutions located in Asia and globally active institutions some of whom are currently engaged in an examination of their derivatives data lake structures. To the extent practicable the DSB has responded directly to incoming queries (via both calls and emails), and </w:t>
      </w:r>
      <w:r w:rsidR="00FE25F1">
        <w:t xml:space="preserve">has </w:t>
      </w:r>
      <w:r>
        <w:t>compil</w:t>
      </w:r>
      <w:r w:rsidR="00FE25F1">
        <w:t>ed</w:t>
      </w:r>
      <w:r>
        <w:t xml:space="preserve"> a </w:t>
      </w:r>
      <w:r w:rsidR="004667BA">
        <w:t>FAQ</w:t>
      </w:r>
      <w:r>
        <w:t xml:space="preserve"> document that i</w:t>
      </w:r>
      <w:r w:rsidR="00FE25F1">
        <w:t>s av</w:t>
      </w:r>
      <w:r w:rsidR="004667BA">
        <w:t xml:space="preserve">ailable </w:t>
      </w:r>
      <w:r>
        <w:t xml:space="preserve"> on its website</w:t>
      </w:r>
      <w:r w:rsidR="004667BA">
        <w:rPr>
          <w:rStyle w:val="FootnoteReference"/>
        </w:rPr>
        <w:footnoteReference w:id="6"/>
      </w:r>
      <w:r>
        <w:t xml:space="preserve"> so that market participants are directed to a single point of information in a scalable manner. </w:t>
      </w:r>
      <w:r w:rsidRPr="008E27D4">
        <w:t>In addition, the DSB has published all responses</w:t>
      </w:r>
      <w:r>
        <w:t xml:space="preserve"> </w:t>
      </w:r>
      <w:r w:rsidRPr="008E27D4">
        <w:t xml:space="preserve">received </w:t>
      </w:r>
      <w:r>
        <w:t>to the first fee model consultation</w:t>
      </w:r>
      <w:r w:rsidRPr="008E27D4">
        <w:t xml:space="preserve"> on its website, as is standard practice for all DSB</w:t>
      </w:r>
      <w:r>
        <w:t xml:space="preserve"> industry</w:t>
      </w:r>
      <w:r w:rsidRPr="008E27D4">
        <w:t xml:space="preserve"> consultations.  </w:t>
      </w:r>
    </w:p>
    <w:p w:rsidR="00F73E49" w:rsidP="00AB4C9D" w:rsidRDefault="00F73E49" w14:paraId="042E110C" w14:textId="334F8639">
      <w:pPr>
        <w:jc w:val="both"/>
      </w:pPr>
      <w:r>
        <w:t>The DSB continues to seek direct feedback from market participants and is conscious that awareness of the UPI System and regulatory requirements surrounding the need for obtaining and reporting the UPI remains relatively nascent at this time. This includes limited awareness of the DSB’s role as UPI Service Provider for provision of UPIs and associated data, evidenced by the fact that the DSB received a total of nine responses representing twelve institutions, although almost 360 participants representing 81 institutions attended the introductory webinars. Although the overall number of responses was relatively low, those that did respond represent</w:t>
      </w:r>
      <w:r w:rsidR="008946B1">
        <w:t>ed</w:t>
      </w:r>
      <w:r>
        <w:t xml:space="preserve"> a diverse cross-section of industry perspectives representing key UPI creator and consumer categories as set out in the table below.</w:t>
      </w:r>
    </w:p>
    <w:p w:rsidR="00F73E49" w:rsidP="00AB4C9D" w:rsidRDefault="00F73E49" w14:paraId="7650A710" w14:textId="77777777">
      <w:pPr>
        <w:jc w:val="both"/>
      </w:pPr>
      <w:r w:rsidRPr="00AB4C9D">
        <w:rPr>
          <w:noProof/>
        </w:rPr>
        <w:drawing>
          <wp:inline distT="0" distB="0" distL="0" distR="0" wp14:anchorId="4A73D2F6" wp14:editId="58710E3E">
            <wp:extent cx="2710800" cy="1695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0800" cy="1695600"/>
                    </a:xfrm>
                    <a:prstGeom prst="rect">
                      <a:avLst/>
                    </a:prstGeom>
                    <a:noFill/>
                    <a:ln>
                      <a:noFill/>
                    </a:ln>
                  </pic:spPr>
                </pic:pic>
              </a:graphicData>
            </a:graphic>
          </wp:inline>
        </w:drawing>
      </w:r>
    </w:p>
    <w:p w:rsidR="00F73E49" w:rsidP="00AB4C9D" w:rsidRDefault="00F73E49" w14:paraId="0F260960" w14:textId="7A44CF68">
      <w:pPr>
        <w:jc w:val="both"/>
      </w:pPr>
      <w:r>
        <w:t xml:space="preserve">The first consultation focused on </w:t>
      </w:r>
      <w:r w:rsidRPr="00696326">
        <w:t>key assumptions</w:t>
      </w:r>
      <w:r>
        <w:t>,</w:t>
      </w:r>
      <w:r w:rsidRPr="00696326">
        <w:t xml:space="preserve"> which included expectations of UPI adoption timelines, UPI creation estimates, expectations of alignment with other international data standards that are applicable to OTC derivatives, implementation efficiency drivers, and ongoing work by the DSB Product Committee </w:t>
      </w:r>
      <w:r w:rsidR="00C46C68">
        <w:t xml:space="preserve">(PC) </w:t>
      </w:r>
      <w:r w:rsidRPr="00696326">
        <w:t>and DSB Technology Advisory Committee</w:t>
      </w:r>
      <w:r w:rsidR="00C46C68">
        <w:t xml:space="preserve"> (TAC)</w:t>
      </w:r>
      <w:r w:rsidRPr="00696326">
        <w:t xml:space="preserve">. </w:t>
      </w:r>
      <w:r>
        <w:t xml:space="preserve"> </w:t>
      </w:r>
    </w:p>
    <w:p w:rsidRPr="0048715D" w:rsidR="00F73E49" w:rsidP="00AB4C9D" w:rsidRDefault="00F73E49" w14:paraId="41426564" w14:textId="11E7BF00">
      <w:pPr>
        <w:jc w:val="both"/>
      </w:pPr>
      <w:r w:rsidRPr="0048715D">
        <w:t xml:space="preserve">The purpose of this </w:t>
      </w:r>
      <w:r>
        <w:t xml:space="preserve">second </w:t>
      </w:r>
      <w:r w:rsidRPr="0048715D">
        <w:t>consultation is to solicit</w:t>
      </w:r>
      <w:r>
        <w:t xml:space="preserve"> further</w:t>
      </w:r>
      <w:r w:rsidRPr="0048715D">
        <w:t xml:space="preserve"> industry feedback on </w:t>
      </w:r>
      <w:r>
        <w:t>additional detail provided following the responses received as part of first round of industry consultation which closed on 5</w:t>
      </w:r>
      <w:r w:rsidRPr="00C330CD">
        <w:rPr>
          <w:vertAlign w:val="superscript"/>
        </w:rPr>
        <w:t>th</w:t>
      </w:r>
      <w:r>
        <w:t xml:space="preserve"> March 2021. </w:t>
      </w:r>
      <w:r w:rsidRPr="0048715D">
        <w:t xml:space="preserve">Feedback provided in response to this consultation will be collated and incorporated into the </w:t>
      </w:r>
      <w:r w:rsidRPr="00A732C7">
        <w:rPr>
          <w:rFonts w:eastAsia="Times New Roman"/>
        </w:rPr>
        <w:t>F</w:t>
      </w:r>
      <w:r>
        <w:rPr>
          <w:rFonts w:eastAsia="Times New Roman"/>
        </w:rPr>
        <w:t>inal UPI F</w:t>
      </w:r>
      <w:r w:rsidRPr="00A732C7">
        <w:rPr>
          <w:rFonts w:eastAsia="Times New Roman"/>
        </w:rPr>
        <w:t xml:space="preserve">ee Model Consultation </w:t>
      </w:r>
      <w:r>
        <w:rPr>
          <w:rFonts w:eastAsia="Times New Roman"/>
        </w:rPr>
        <w:t xml:space="preserve">Report </w:t>
      </w:r>
      <w:r>
        <w:t>to be published on 27</w:t>
      </w:r>
      <w:r w:rsidRPr="003B2AC7">
        <w:rPr>
          <w:vertAlign w:val="superscript"/>
        </w:rPr>
        <w:t>th</w:t>
      </w:r>
      <w:r>
        <w:t xml:space="preserve"> September 2021, as set out </w:t>
      </w:r>
      <w:r w:rsidRPr="0048715D">
        <w:t xml:space="preserve">in section </w:t>
      </w:r>
      <w:r>
        <w:rPr>
          <w:highlight w:val="yellow"/>
        </w:rPr>
        <w:fldChar w:fldCharType="begin"/>
      </w:r>
      <w:r>
        <w:instrText xml:space="preserve"> REF _Ref68600483 \r \h </w:instrText>
      </w:r>
      <w:r>
        <w:rPr>
          <w:highlight w:val="yellow"/>
        </w:rPr>
      </w:r>
      <w:r>
        <w:rPr>
          <w:highlight w:val="yellow"/>
        </w:rPr>
        <w:fldChar w:fldCharType="separate"/>
      </w:r>
      <w:r w:rsidR="003D3315">
        <w:t>2</w:t>
      </w:r>
      <w:r>
        <w:rPr>
          <w:highlight w:val="yellow"/>
        </w:rPr>
        <w:fldChar w:fldCharType="end"/>
      </w:r>
      <w:r w:rsidRPr="0048715D">
        <w:t xml:space="preserve"> of this paper. </w:t>
      </w:r>
    </w:p>
    <w:p w:rsidR="00594699" w:rsidP="00AB4C9D" w:rsidRDefault="00F73E49" w14:paraId="48444EA8" w14:textId="575271A3">
      <w:pPr>
        <w:jc w:val="both"/>
      </w:pPr>
      <w:r w:rsidRPr="0048715D">
        <w:t xml:space="preserve">This paper commences by providing </w:t>
      </w:r>
      <w:r>
        <w:t xml:space="preserve">a summary of industry responses to the assumptions made and questions posed in the previous consultation paper, and follows with additional questions for further industry feedback. It should also be noted that no feedback was received on the assumptions set out in the prior paper, and the DSB is proceeding on the basis of the items documented in section </w:t>
      </w:r>
      <w:r>
        <w:rPr>
          <w:highlight w:val="yellow"/>
        </w:rPr>
        <w:fldChar w:fldCharType="begin"/>
      </w:r>
      <w:r>
        <w:instrText xml:space="preserve"> REF _Ref66996685 \r \h </w:instrText>
      </w:r>
      <w:r>
        <w:rPr>
          <w:highlight w:val="yellow"/>
        </w:rPr>
      </w:r>
      <w:r>
        <w:rPr>
          <w:highlight w:val="yellow"/>
        </w:rPr>
        <w:fldChar w:fldCharType="separate"/>
      </w:r>
      <w:r w:rsidR="003D3315">
        <w:t>5.3</w:t>
      </w:r>
      <w:r>
        <w:rPr>
          <w:highlight w:val="yellow"/>
        </w:rPr>
        <w:fldChar w:fldCharType="end"/>
      </w:r>
      <w:r>
        <w:t xml:space="preserve"> of this paper. </w:t>
      </w:r>
      <w:r w:rsidRPr="00531A8E" w:rsidR="00531A8E">
        <w:t xml:space="preserve"> </w:t>
      </w:r>
      <w:r w:rsidR="006A5A15">
        <w:t>B</w:t>
      </w:r>
      <w:r w:rsidRPr="002F02C5" w:rsidR="006A5A15">
        <w:t>riefly, the assumptions are</w:t>
      </w:r>
      <w:r w:rsidR="00594699">
        <w:t>:</w:t>
      </w:r>
    </w:p>
    <w:p w:rsidR="00594699" w:rsidP="00AB4C9D" w:rsidRDefault="008D2BBD" w14:paraId="4CA2B7C4" w14:textId="30239ED2">
      <w:pPr>
        <w:jc w:val="both"/>
      </w:pPr>
      <w:r>
        <w:t>(i)</w:t>
      </w:r>
      <w:r w:rsidRPr="008F369E" w:rsidR="008F369E">
        <w:t xml:space="preserve"> </w:t>
      </w:r>
      <w:r w:rsidR="008F369E">
        <w:t>that the DSB will le</w:t>
      </w:r>
      <w:r w:rsidRPr="008F369E" w:rsidR="008F369E">
        <w:t>verag</w:t>
      </w:r>
      <w:r w:rsidR="008F369E">
        <w:t xml:space="preserve">e </w:t>
      </w:r>
      <w:r w:rsidRPr="008F369E" w:rsidR="008F369E">
        <w:t>the DSB’s existing service to reduc</w:t>
      </w:r>
      <w:r w:rsidR="00594699">
        <w:t xml:space="preserve">e both </w:t>
      </w:r>
      <w:r w:rsidRPr="008F369E" w:rsidR="008F369E">
        <w:t xml:space="preserve">the UPI user fee burden by minimizing implementation and run costs for the DSB, and </w:t>
      </w:r>
      <w:r w:rsidR="00594699">
        <w:t xml:space="preserve">minimize </w:t>
      </w:r>
      <w:r w:rsidRPr="008F369E" w:rsidR="008F369E">
        <w:t xml:space="preserve">user’s own technology burden so </w:t>
      </w:r>
      <w:r w:rsidR="00594699">
        <w:t>i</w:t>
      </w:r>
      <w:r w:rsidRPr="008F369E" w:rsidR="008F369E">
        <w:t>nstitutions already connected to the DSB can overlay their UPI related workflows in a manner that is more integrated with their other OTC derivative reference data needs</w:t>
      </w:r>
      <w:r w:rsidR="00594699">
        <w:rPr>
          <w:rStyle w:val="FootnoteReference"/>
        </w:rPr>
        <w:footnoteReference w:id="7"/>
      </w:r>
      <w:r w:rsidRPr="008F369E" w:rsidR="008F369E">
        <w:t>.</w:t>
      </w:r>
    </w:p>
    <w:p w:rsidR="00BB03D2" w:rsidP="00BB03D2" w:rsidRDefault="00594699" w14:paraId="62F1E282" w14:textId="77777777">
      <w:pPr>
        <w:jc w:val="both"/>
      </w:pPr>
      <w:r>
        <w:t xml:space="preserve">(ii) </w:t>
      </w:r>
      <w:r w:rsidR="00BB03D2">
        <w:t>align the UPI with other internationally recognised data standards to allow both the DSB and DSB users to maintain a clear data hierarchy when utilizing each of the CFI, UPI, OTC ISIN, and FISN more easily and consistently</w:t>
      </w:r>
      <w:r w:rsidR="00BB03D2">
        <w:rPr>
          <w:rStyle w:val="FootnoteReference"/>
        </w:rPr>
        <w:footnoteReference w:id="8"/>
      </w:r>
      <w:r w:rsidR="00BB03D2">
        <w:t xml:space="preserve">. </w:t>
      </w:r>
    </w:p>
    <w:p w:rsidR="00332ACD" w:rsidP="00585244" w:rsidRDefault="00BB03D2" w14:paraId="66FD2ED2" w14:textId="6B84699E">
      <w:pPr>
        <w:jc w:val="both"/>
      </w:pPr>
      <w:r>
        <w:t xml:space="preserve">(iii) </w:t>
      </w:r>
      <w:r w:rsidR="00585244">
        <w:t xml:space="preserve">that </w:t>
      </w:r>
      <w:r w:rsidR="00D6037A">
        <w:t xml:space="preserve">the definition of UPI </w:t>
      </w:r>
      <w:r w:rsidR="00585244">
        <w:t xml:space="preserve">product </w:t>
      </w:r>
      <w:r w:rsidR="00D6037A">
        <w:t xml:space="preserve">templates </w:t>
      </w:r>
      <w:r w:rsidR="00585244">
        <w:t xml:space="preserve">will </w:t>
      </w:r>
      <w:r w:rsidR="000B65EE">
        <w:t>be</w:t>
      </w:r>
      <w:r w:rsidR="00585244">
        <w:t xml:space="preserve"> the purview of the DSB P</w:t>
      </w:r>
      <w:r w:rsidR="00C46C68">
        <w:t>C</w:t>
      </w:r>
      <w:r w:rsidR="0001484D">
        <w:t xml:space="preserve">, </w:t>
      </w:r>
      <w:r w:rsidR="00B630B9">
        <w:t xml:space="preserve">in addition to </w:t>
      </w:r>
      <w:r w:rsidR="00276A7E">
        <w:t xml:space="preserve">the definition of </w:t>
      </w:r>
      <w:r w:rsidR="0001484D">
        <w:t xml:space="preserve">the OTC ISIN. </w:t>
      </w:r>
      <w:r w:rsidR="00BE5F1A">
        <w:t>Ma</w:t>
      </w:r>
      <w:r w:rsidR="00585244">
        <w:t xml:space="preserve">rket practitioners </w:t>
      </w:r>
      <w:r w:rsidR="005E11A9">
        <w:t>will therefore</w:t>
      </w:r>
      <w:r w:rsidR="00585244">
        <w:t xml:space="preserve"> continue to </w:t>
      </w:r>
      <w:r w:rsidR="00332ACD">
        <w:t>be</w:t>
      </w:r>
      <w:r w:rsidR="00556E6C">
        <w:t xml:space="preserve"> provided with product documentation and supporting </w:t>
      </w:r>
      <w:r w:rsidR="00585244">
        <w:t>insight</w:t>
      </w:r>
      <w:r w:rsidR="00556E6C">
        <w:t xml:space="preserve"> to ensure data quality and consistency (where necessary)</w:t>
      </w:r>
      <w:r w:rsidR="00585244">
        <w:t xml:space="preserve"> into how product definitions are created, reviewed, </w:t>
      </w:r>
      <w:r w:rsidR="00332ACD">
        <w:t xml:space="preserve">in accordance with the recommendations of the </w:t>
      </w:r>
      <w:r w:rsidR="00F23D5B">
        <w:t xml:space="preserve">DSB </w:t>
      </w:r>
      <w:r w:rsidR="00332ACD">
        <w:t>PC</w:t>
      </w:r>
      <w:r w:rsidR="00332ACD">
        <w:rPr>
          <w:rStyle w:val="FootnoteReference"/>
        </w:rPr>
        <w:footnoteReference w:id="9"/>
      </w:r>
      <w:r w:rsidR="00332ACD">
        <w:t>.</w:t>
      </w:r>
    </w:p>
    <w:p w:rsidRPr="00C85668" w:rsidR="00F73E49" w:rsidP="00533C79" w:rsidRDefault="00332ACD" w14:paraId="2B388C0A" w14:textId="109374BC">
      <w:pPr>
        <w:jc w:val="both"/>
        <w:rPr>
          <w:lang w:val="en-GB"/>
        </w:rPr>
      </w:pPr>
      <w:r>
        <w:t xml:space="preserve">(iv) </w:t>
      </w:r>
      <w:r w:rsidR="00D65E98">
        <w:t xml:space="preserve">that </w:t>
      </w:r>
      <w:r w:rsidR="00585244">
        <w:t xml:space="preserve">the </w:t>
      </w:r>
      <w:r w:rsidR="00D65E98">
        <w:t xml:space="preserve">UPI creation estimates </w:t>
      </w:r>
      <w:r w:rsidR="00375E44">
        <w:t xml:space="preserve">provided in the paper – for </w:t>
      </w:r>
      <w:r w:rsidR="00D65E98">
        <w:t>both the initial UPI creation rate, and the longer-term flow rate</w:t>
      </w:r>
      <w:r w:rsidR="00375E44">
        <w:t xml:space="preserve"> - </w:t>
      </w:r>
      <w:r w:rsidR="00C85668">
        <w:t xml:space="preserve">are to be used </w:t>
      </w:r>
      <w:r w:rsidR="00D65E98">
        <w:t xml:space="preserve">as a basis to provide feedback on the principles set out in </w:t>
      </w:r>
      <w:r w:rsidR="00C85668">
        <w:t xml:space="preserve">the consultation </w:t>
      </w:r>
      <w:r w:rsidR="00D65E98">
        <w:t>section of this document</w:t>
      </w:r>
      <w:r w:rsidR="00C85668">
        <w:rPr>
          <w:rStyle w:val="FootnoteReference"/>
        </w:rPr>
        <w:footnoteReference w:id="10"/>
      </w:r>
      <w:r w:rsidR="00D65E98">
        <w:t xml:space="preserve">.  </w:t>
      </w:r>
      <w:r w:rsidR="00585244">
        <w:t xml:space="preserve"> </w:t>
      </w:r>
      <w:r w:rsidRPr="002F02C5" w:rsidR="006A5A15">
        <w:t xml:space="preserve">  </w:t>
      </w:r>
    </w:p>
    <w:p w:rsidR="0034537F" w:rsidP="00533C79" w:rsidRDefault="00F73E49" w14:paraId="70F2C1DA" w14:textId="77777777">
      <w:pPr>
        <w:jc w:val="both"/>
      </w:pPr>
      <w:r>
        <w:t>Where relevant, each section has been augmented to include questions posed by potential UPI consumers. Each question is</w:t>
      </w:r>
      <w:r w:rsidRPr="0048715D" w:rsidDel="0069545E">
        <w:t xml:space="preserve"> </w:t>
      </w:r>
      <w:r w:rsidRPr="0048715D">
        <w:t>supported by analytical context and where the proposed next steps have a cost impact, the key cost drivers have been detailed to allow industry to make a determination about whether they concur with the assumptions and principles set out in the document, or propose alternate evidence driven considerations that they believe should be utilized instead and/or alongside the proposals set out in this paper.</w:t>
      </w:r>
      <w:r>
        <w:t xml:space="preserve"> </w:t>
      </w:r>
      <w:r w:rsidRPr="0048715D">
        <w:t xml:space="preserve">Respondents </w:t>
      </w:r>
      <w:r>
        <w:t xml:space="preserve">are </w:t>
      </w:r>
      <w:r w:rsidRPr="0048715D">
        <w:t xml:space="preserve">also </w:t>
      </w:r>
      <w:r>
        <w:t xml:space="preserve">invited </w:t>
      </w:r>
      <w:r w:rsidRPr="0048715D">
        <w:t xml:space="preserve">to provide any general comments in the final section of the response form provided at the end of this paper. </w:t>
      </w:r>
    </w:p>
    <w:p w:rsidRPr="0048715D" w:rsidR="00F73E49" w:rsidP="00533C79" w:rsidRDefault="00F73E49" w14:paraId="336125E3" w14:textId="5587FD28">
      <w:pPr>
        <w:jc w:val="both"/>
      </w:pPr>
      <w:r>
        <w:t>Last but not least, this paper also provides a reminder of UPI g</w:t>
      </w:r>
      <w:r w:rsidRPr="0048715D">
        <w:t xml:space="preserve">overnance </w:t>
      </w:r>
      <w:r>
        <w:t xml:space="preserve">arrangements and the UPI purpose in sections </w:t>
      </w:r>
      <w:r>
        <w:fldChar w:fldCharType="begin"/>
      </w:r>
      <w:r>
        <w:instrText xml:space="preserve"> REF _Ref68600864 \r \h </w:instrText>
      </w:r>
      <w:r w:rsidR="00533C79">
        <w:instrText xml:space="preserve"> \* MERGEFORMAT </w:instrText>
      </w:r>
      <w:r>
        <w:fldChar w:fldCharType="separate"/>
      </w:r>
      <w:r w:rsidR="003D3315">
        <w:t>5.1</w:t>
      </w:r>
      <w:r>
        <w:fldChar w:fldCharType="end"/>
      </w:r>
      <w:r>
        <w:t xml:space="preserve"> and </w:t>
      </w:r>
      <w:r>
        <w:rPr>
          <w:highlight w:val="yellow"/>
        </w:rPr>
        <w:fldChar w:fldCharType="begin"/>
      </w:r>
      <w:r>
        <w:instrText xml:space="preserve"> REF _Ref68600803 \r \h </w:instrText>
      </w:r>
      <w:r w:rsidR="00533C79">
        <w:rPr>
          <w:highlight w:val="yellow"/>
        </w:rPr>
        <w:instrText xml:space="preserve"> \* MERGEFORMAT </w:instrText>
      </w:r>
      <w:r>
        <w:rPr>
          <w:highlight w:val="yellow"/>
        </w:rPr>
      </w:r>
      <w:r>
        <w:rPr>
          <w:highlight w:val="yellow"/>
        </w:rPr>
        <w:fldChar w:fldCharType="separate"/>
      </w:r>
      <w:r w:rsidR="003D3315">
        <w:t>5.2</w:t>
      </w:r>
      <w:r>
        <w:rPr>
          <w:highlight w:val="yellow"/>
        </w:rPr>
        <w:fldChar w:fldCharType="end"/>
      </w:r>
      <w:r w:rsidRPr="0048715D">
        <w:t xml:space="preserve">. </w:t>
      </w:r>
      <w:r w:rsidR="00F130A3">
        <w:t xml:space="preserve">In summary, the key governance criteria </w:t>
      </w:r>
      <w:r w:rsidR="0075190C">
        <w:t xml:space="preserve">were specified by the FSB and </w:t>
      </w:r>
      <w:r w:rsidR="00BC2767">
        <w:t xml:space="preserve">are </w:t>
      </w:r>
      <w:r w:rsidR="0075190C">
        <w:t>outlined in the FSB Governance arrangements for the UPI</w:t>
      </w:r>
      <w:r w:rsidR="00BB1675">
        <w:rPr>
          <w:rStyle w:val="FootnoteReference"/>
        </w:rPr>
        <w:footnoteReference w:id="11"/>
      </w:r>
      <w:r w:rsidR="00792947">
        <w:t xml:space="preserve">. The </w:t>
      </w:r>
      <w:r w:rsidR="005260E4">
        <w:t>g</w:t>
      </w:r>
      <w:r w:rsidR="0075190C">
        <w:t>overnance criteria have been referenced within this paper where related to the UPI fee model principles</w:t>
      </w:r>
      <w:r w:rsidR="005260E4">
        <w:t xml:space="preserve">, and </w:t>
      </w:r>
      <w:r w:rsidR="00A3691E">
        <w:t xml:space="preserve">note that governance arrangements should be in the </w:t>
      </w:r>
      <w:r w:rsidR="005260E4">
        <w:t>pu</w:t>
      </w:r>
      <w:r w:rsidR="0075190C">
        <w:t>blic interest</w:t>
      </w:r>
      <w:r w:rsidR="005260E4">
        <w:t xml:space="preserve">, </w:t>
      </w:r>
      <w:r w:rsidR="00A3691E">
        <w:t xml:space="preserve">lean, </w:t>
      </w:r>
      <w:r w:rsidR="00342541">
        <w:t>c</w:t>
      </w:r>
      <w:r w:rsidRPr="00342541" w:rsidR="00342541">
        <w:t>hange only as needed</w:t>
      </w:r>
      <w:r w:rsidR="00342541">
        <w:t>,</w:t>
      </w:r>
      <w:r w:rsidR="00600863">
        <w:t xml:space="preserve"> </w:t>
      </w:r>
      <w:r w:rsidR="00865303">
        <w:t xml:space="preserve">include </w:t>
      </w:r>
      <w:r w:rsidR="00600863">
        <w:t>a c</w:t>
      </w:r>
      <w:r w:rsidRPr="00600863" w:rsidR="00600863">
        <w:t>onsultative change process</w:t>
      </w:r>
      <w:r w:rsidR="00600863">
        <w:t xml:space="preserve">, </w:t>
      </w:r>
      <w:r w:rsidRPr="00E70460" w:rsidR="00E70460">
        <w:t>ensure the economic sustainability of the UPI System over time</w:t>
      </w:r>
      <w:r w:rsidR="00E70460">
        <w:t xml:space="preserve">, </w:t>
      </w:r>
      <w:r w:rsidR="00FC61DC">
        <w:t xml:space="preserve">ensure open access, </w:t>
      </w:r>
      <w:r w:rsidR="00E30361">
        <w:t xml:space="preserve">target </w:t>
      </w:r>
      <w:r w:rsidR="00666005">
        <w:t xml:space="preserve">fair cost allocation to stakeholders, </w:t>
      </w:r>
      <w:r w:rsidR="00DE4016">
        <w:t xml:space="preserve">ensure </w:t>
      </w:r>
      <w:r w:rsidR="00E65F06">
        <w:t xml:space="preserve">that the UPI standard and </w:t>
      </w:r>
      <w:r w:rsidRPr="00E65F06" w:rsidR="00E65F06">
        <w:t>the use of any UPI Code should be free of licensing restrictions</w:t>
      </w:r>
      <w:r w:rsidR="00E65F06">
        <w:t xml:space="preserve">, </w:t>
      </w:r>
      <w:r w:rsidR="00DE4016">
        <w:t>have poli</w:t>
      </w:r>
      <w:r w:rsidR="006F5BAC">
        <w:t xml:space="preserve">cies that </w:t>
      </w:r>
      <w:r w:rsidRPr="00E503D2" w:rsidR="00E503D2">
        <w:t>reasonably detect and effectively manage any potential conflict of interest</w:t>
      </w:r>
      <w:r w:rsidR="006F5BAC">
        <w:t xml:space="preserve">, </w:t>
      </w:r>
      <w:r w:rsidR="008D543F">
        <w:t>be fit for purpose, take into c</w:t>
      </w:r>
      <w:r w:rsidRPr="008D543F" w:rsidR="008D543F">
        <w:t xml:space="preserve">onsideration other </w:t>
      </w:r>
      <w:r w:rsidR="008D543F">
        <w:t>g</w:t>
      </w:r>
      <w:r w:rsidRPr="008D543F" w:rsidR="008D543F">
        <w:t xml:space="preserve">overnance </w:t>
      </w:r>
      <w:r w:rsidR="008D543F">
        <w:t>f</w:t>
      </w:r>
      <w:r w:rsidRPr="008D543F" w:rsidR="008D543F">
        <w:t>rameworks</w:t>
      </w:r>
      <w:r w:rsidR="009164C6">
        <w:t>, and ensure the o</w:t>
      </w:r>
      <w:r w:rsidRPr="009164C6" w:rsidR="009164C6">
        <w:t>perational viability and continuity of UPI Service Provider operations</w:t>
      </w:r>
      <w:r w:rsidR="009164C6">
        <w:t xml:space="preserve">. </w:t>
      </w:r>
    </w:p>
    <w:p w:rsidR="0022210C" w:rsidP="00533C79" w:rsidRDefault="00F73E49" w14:paraId="3C42D650" w14:textId="77777777">
      <w:pPr>
        <w:jc w:val="both"/>
      </w:pPr>
      <w:bookmarkStart w:name="_Toc8250278" w:id="6"/>
      <w:r w:rsidRPr="0048715D">
        <w:t xml:space="preserve">The DSB works to ensure the broad views and needs of the stakeholders lead the direction of development of the service. By working collaboratively, the DSB has historically been able to ensure all views are considered, and it is hoped that a representative set of firms will seek to respond to this consultation. All responses will be published on the DSB’s website, with respondents able to indicate in the response form if they wish the name of their institution to remain anonymous at the point of publication. </w:t>
      </w:r>
    </w:p>
    <w:p w:rsidRPr="0048715D" w:rsidR="00F73E49" w:rsidP="00533C79" w:rsidRDefault="00F73E49" w14:paraId="30F74F88" w14:textId="32281692">
      <w:pPr>
        <w:jc w:val="both"/>
      </w:pPr>
      <w:r w:rsidRPr="0048715D">
        <w:t xml:space="preserve">All responses should be submitted using the form provided in section </w:t>
      </w:r>
      <w:r>
        <w:rPr>
          <w:highlight w:val="yellow"/>
        </w:rPr>
        <w:fldChar w:fldCharType="begin"/>
      </w:r>
      <w:r>
        <w:instrText xml:space="preserve"> REF _Ref57817085 \r \h </w:instrText>
      </w:r>
      <w:r w:rsidR="00533C79">
        <w:rPr>
          <w:highlight w:val="yellow"/>
        </w:rPr>
        <w:instrText xml:space="preserve"> \* MERGEFORMAT </w:instrText>
      </w:r>
      <w:r>
        <w:rPr>
          <w:highlight w:val="yellow"/>
        </w:rPr>
      </w:r>
      <w:r>
        <w:rPr>
          <w:highlight w:val="yellow"/>
        </w:rPr>
        <w:fldChar w:fldCharType="separate"/>
      </w:r>
      <w:r w:rsidR="003D3315">
        <w:t>6</w:t>
      </w:r>
      <w:r>
        <w:rPr>
          <w:highlight w:val="yellow"/>
        </w:rPr>
        <w:fldChar w:fldCharType="end"/>
      </w:r>
      <w:r w:rsidRPr="0048715D">
        <w:t xml:space="preserve"> of this paper, and sent to </w:t>
      </w:r>
      <w:hyperlink w:history="1" r:id="rId10">
        <w:r w:rsidRPr="0048715D">
          <w:rPr>
            <w:rStyle w:val="Hyperlink"/>
          </w:rPr>
          <w:t>industry_consultation@anna-dsb.com</w:t>
        </w:r>
      </w:hyperlink>
      <w:r w:rsidRPr="0048715D">
        <w:t xml:space="preserve"> no later than 5pm UTC on </w:t>
      </w:r>
      <w:r>
        <w:t>9</w:t>
      </w:r>
      <w:r w:rsidRPr="00A84971">
        <w:rPr>
          <w:vertAlign w:val="superscript"/>
        </w:rPr>
        <w:t>th</w:t>
      </w:r>
      <w:r>
        <w:t xml:space="preserve"> July </w:t>
      </w:r>
      <w:r w:rsidRPr="0048715D">
        <w:t xml:space="preserve">2021. </w:t>
      </w:r>
    </w:p>
    <w:p w:rsidR="00711958" w:rsidP="001456B9" w:rsidRDefault="00711958" w14:paraId="488A0989" w14:textId="2474AA3E">
      <w:pPr>
        <w:jc w:val="both"/>
        <w:rPr>
          <w:rFonts w:asciiTheme="majorHAnsi" w:hAnsiTheme="majorHAnsi" w:eastAsiaTheme="majorEastAsia" w:cstheme="majorBidi"/>
          <w:color w:val="30AEB9"/>
          <w:sz w:val="32"/>
          <w:szCs w:val="32"/>
          <w:lang w:val="en-GB"/>
        </w:rPr>
      </w:pPr>
      <w:bookmarkStart w:name="_Toc38982534" w:id="7"/>
      <w:bookmarkStart w:name="_Toc38982616" w:id="8"/>
      <w:bookmarkStart w:name="_Toc38982874" w:id="9"/>
      <w:bookmarkStart w:name="_Toc38982993" w:id="10"/>
      <w:bookmarkStart w:name="_Toc38983075" w:id="11"/>
      <w:bookmarkStart w:name="_Toc38983158" w:id="12"/>
      <w:bookmarkStart w:name="_Toc38983564" w:id="13"/>
      <w:bookmarkStart w:name="_Toc39061479" w:id="14"/>
      <w:bookmarkStart w:name="_Toc38982536" w:id="15"/>
      <w:bookmarkStart w:name="_Toc38982618" w:id="16"/>
      <w:bookmarkStart w:name="_Toc38982876" w:id="17"/>
      <w:bookmarkStart w:name="_Toc38982995" w:id="18"/>
      <w:bookmarkStart w:name="_Toc38983077" w:id="19"/>
      <w:bookmarkStart w:name="_Toc38983160" w:id="20"/>
      <w:bookmarkStart w:name="_Toc38983566" w:id="21"/>
      <w:bookmarkStart w:name="_Toc39061481" w:id="22"/>
      <w:bookmarkStart w:name="_Toc60651766" w:id="23"/>
      <w:bookmarkStart w:name="_Ref68600483" w:id="24"/>
      <w:bookmarkStart w:name="_Toc69801992" w:id="25"/>
      <w:bookmarkStart w:name="_Toc38842403" w:id="26"/>
      <w:bookmarkStart w:name="_Ref57896767" w:id="27"/>
      <w:bookmarkStart w:name="_Ref60649071" w:id="28"/>
      <w:bookmarkStart w:name="_Toc60651776" w:id="29"/>
      <w:bookmarkStart w:name="_Toc13087127" w:id="30"/>
      <w:bookmarkStart w:name="_Toc517783478" w:id="3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F73E49" w:rsidP="00533C79" w:rsidRDefault="00F73E49" w14:paraId="0FC6F57D" w14:textId="78FE22CD">
      <w:pPr>
        <w:pStyle w:val="Heading1"/>
        <w:spacing w:line="276" w:lineRule="auto"/>
        <w:ind w:hanging="431"/>
        <w:jc w:val="both"/>
        <w:rPr>
          <w:color w:val="30AEB9"/>
        </w:rPr>
      </w:pPr>
      <w:bookmarkStart w:name="_Toc71369585" w:id="32"/>
      <w:r>
        <w:rPr>
          <w:color w:val="30AEB9"/>
        </w:rPr>
        <w:t>DSB’s UPI Implementation Timeline</w:t>
      </w:r>
      <w:bookmarkEnd w:id="24"/>
      <w:bookmarkEnd w:id="25"/>
      <w:bookmarkEnd w:id="32"/>
      <w:r>
        <w:rPr>
          <w:color w:val="30AEB9"/>
        </w:rPr>
        <w:t xml:space="preserve"> </w:t>
      </w:r>
    </w:p>
    <w:p w:rsidR="00F73E49" w:rsidP="001456B9" w:rsidRDefault="00F73E49" w14:paraId="5EC470EF" w14:textId="77777777">
      <w:pPr>
        <w:jc w:val="both"/>
      </w:pPr>
      <w:r>
        <w:t>A number of global market participants requiring the UPI have in recent weeks been highly focused on the timeline by which the DSB will make the UPI available, including key milestones</w:t>
      </w:r>
      <w:r w:rsidDel="008E0BCB">
        <w:t xml:space="preserve"> </w:t>
      </w:r>
      <w:r>
        <w:t xml:space="preserve">that will drive market readiness and adoption. The DSB has therefore sought to provide additional information about key implementation milestones </w:t>
      </w:r>
      <w:r w:rsidDel="00B15920">
        <w:t xml:space="preserve">in the period </w:t>
      </w:r>
      <w:r>
        <w:t xml:space="preserve">through to July 2022 – the target date for DSB UPI go-live. Highlights are provided below, with further information to be made available </w:t>
      </w:r>
      <w:hyperlink w:history="1" r:id="rId11">
        <w:r w:rsidRPr="00F60A16">
          <w:rPr>
            <w:rStyle w:val="Hyperlink"/>
          </w:rPr>
          <w:t>here on the UPI website</w:t>
        </w:r>
      </w:hyperlink>
      <w:r>
        <w:rPr>
          <w:rStyle w:val="FootnoteReference"/>
        </w:rPr>
        <w:footnoteReference w:id="12"/>
      </w:r>
      <w:r>
        <w:t xml:space="preserve"> in due course. </w:t>
      </w:r>
    </w:p>
    <w:p w:rsidR="00F73E49" w:rsidP="001456B9" w:rsidRDefault="00F73E49" w14:paraId="312D6754" w14:textId="77777777">
      <w:pPr>
        <w:jc w:val="both"/>
      </w:pPr>
      <w:r>
        <w:t xml:space="preserve">As part of its Governance arrangements for the UPI , the FSB outlined high-level expectations for global UPI implementation planning. It was recognised that jurisdictional implementation is likely to be staggered, occurring at varying speeds because of the independent decision-making processes and prioritisation of initiatives. </w:t>
      </w:r>
    </w:p>
    <w:p w:rsidR="00F73E49" w:rsidP="001456B9" w:rsidRDefault="00F73E49" w14:paraId="35E1C793" w14:textId="77777777">
      <w:pPr>
        <w:jc w:val="both"/>
      </w:pPr>
      <w:r>
        <w:t>Allowing for legal changes to be made and for TRs and reporting entities to adapt, the FSB recommendation is that jurisdictions undertake the necessary actions relevant to their situation to implement the UPI technical guidance</w:t>
      </w:r>
      <w:r w:rsidDel="00965D71">
        <w:t xml:space="preserve"> </w:t>
      </w:r>
      <w:r>
        <w:t xml:space="preserve">no later than the third quarter of 2022. </w:t>
      </w:r>
    </w:p>
    <w:p w:rsidR="00F73E49" w:rsidP="001456B9" w:rsidRDefault="00F73E49" w14:paraId="31B225E0" w14:textId="77777777">
      <w:pPr>
        <w:jc w:val="both"/>
      </w:pPr>
      <w:r>
        <w:t>In preparation for UPI adoption and implementation by supervisory authorities, the DSB continues to work with ROC, and industry stakeholders to refine the requirements and framework for the UPI.</w:t>
      </w:r>
    </w:p>
    <w:p w:rsidR="00F73E49" w:rsidP="001456B9" w:rsidRDefault="00F73E49" w14:paraId="1A63C331" w14:textId="77777777">
      <w:pPr>
        <w:jc w:val="both"/>
      </w:pPr>
      <w:r>
        <w:t xml:space="preserve">Readers wishing to stay abreast of key UPI updates are encouraged to subscribe to the DSB’s UPI notifications either by emailing </w:t>
      </w:r>
      <w:hyperlink w:history="1" r:id="rId12">
        <w:r w:rsidRPr="00641F5F">
          <w:rPr>
            <w:rStyle w:val="Hyperlink"/>
          </w:rPr>
          <w:t>otc.data@anna-dsb.com</w:t>
        </w:r>
      </w:hyperlink>
      <w:r>
        <w:t xml:space="preserve"> and requesting UPI updates, or by clicking on the </w:t>
      </w:r>
      <w:hyperlink w:history="1" r:id="rId13">
        <w:r w:rsidRPr="001C0782">
          <w:rPr>
            <w:rStyle w:val="Hyperlink"/>
          </w:rPr>
          <w:t>link here</w:t>
        </w:r>
      </w:hyperlink>
      <w:r>
        <w:rPr>
          <w:rStyle w:val="FootnoteReference"/>
        </w:rPr>
        <w:footnoteReference w:id="13"/>
      </w:r>
      <w:r>
        <w:t xml:space="preserve"> and selecting their preferences.  </w:t>
      </w:r>
    </w:p>
    <w:tbl>
      <w:tblPr>
        <w:tblW w:w="0" w:type="auto"/>
        <w:tblCellMar>
          <w:left w:w="0" w:type="dxa"/>
          <w:right w:w="0" w:type="dxa"/>
        </w:tblCellMar>
        <w:tblLook w:val="0420" w:firstRow="1" w:lastRow="0" w:firstColumn="0" w:lastColumn="0" w:noHBand="0" w:noVBand="1"/>
      </w:tblPr>
      <w:tblGrid>
        <w:gridCol w:w="561"/>
        <w:gridCol w:w="6092"/>
        <w:gridCol w:w="2267"/>
      </w:tblGrid>
      <w:tr w:rsidRPr="00A732C7" w:rsidR="00F73E49" w:rsidTr="009A6C69" w14:paraId="7DFC49BD" w14:textId="77777777">
        <w:trPr>
          <w:tblHeader/>
        </w:trPr>
        <w:tc>
          <w:tcPr>
            <w:tcW w:w="0" w:type="auto"/>
            <w:tcBorders>
              <w:top w:val="single" w:color="FFFFFF" w:sz="8" w:space="0"/>
              <w:left w:val="single" w:color="FFFFFF" w:sz="8" w:space="0"/>
              <w:bottom w:val="single" w:color="FFFFFF" w:sz="24" w:space="0"/>
              <w:right w:val="single" w:color="FFFFFF" w:sz="8" w:space="0"/>
            </w:tcBorders>
            <w:shd w:val="clear" w:color="auto" w:fill="30AEB9"/>
            <w:tcMar>
              <w:top w:w="57" w:type="dxa"/>
              <w:left w:w="113" w:type="dxa"/>
              <w:bottom w:w="57" w:type="dxa"/>
              <w:right w:w="113" w:type="dxa"/>
            </w:tcMar>
            <w:vAlign w:val="center"/>
            <w:hideMark/>
          </w:tcPr>
          <w:p w:rsidRPr="00467FAE" w:rsidR="00F73E49" w:rsidP="009A6C69" w:rsidRDefault="00F73E49" w14:paraId="0043E6DA" w14:textId="77777777">
            <w:pPr>
              <w:spacing w:after="120"/>
              <w:jc w:val="center"/>
              <w:rPr>
                <w:rFonts w:eastAsia="Times New Roman"/>
                <w:color w:val="FFFFFF" w:themeColor="background1"/>
              </w:rPr>
            </w:pPr>
            <w:r w:rsidRPr="00467FAE">
              <w:rPr>
                <w:rFonts w:eastAsia="Times New Roman"/>
                <w:b/>
                <w:bCs/>
                <w:color w:val="FFFFFF" w:themeColor="background1"/>
              </w:rPr>
              <w:t>#</w:t>
            </w:r>
          </w:p>
        </w:tc>
        <w:tc>
          <w:tcPr>
            <w:tcW w:w="6092" w:type="dxa"/>
            <w:tcBorders>
              <w:top w:val="single" w:color="FFFFFF" w:sz="8" w:space="0"/>
              <w:left w:val="single" w:color="FFFFFF" w:sz="8" w:space="0"/>
              <w:bottom w:val="single" w:color="FFFFFF" w:sz="24" w:space="0"/>
              <w:right w:val="single" w:color="FFFFFF" w:sz="8" w:space="0"/>
            </w:tcBorders>
            <w:shd w:val="clear" w:color="auto" w:fill="30AEB9"/>
            <w:tcMar>
              <w:top w:w="57" w:type="dxa"/>
              <w:left w:w="113" w:type="dxa"/>
              <w:bottom w:w="57" w:type="dxa"/>
              <w:right w:w="113" w:type="dxa"/>
            </w:tcMar>
            <w:vAlign w:val="center"/>
            <w:hideMark/>
          </w:tcPr>
          <w:p w:rsidRPr="00467FAE" w:rsidR="00F73E49" w:rsidP="0098009D" w:rsidRDefault="00F73E49" w14:paraId="47FBE793" w14:textId="77777777">
            <w:pPr>
              <w:spacing w:after="120"/>
              <w:rPr>
                <w:rFonts w:eastAsia="Times New Roman"/>
                <w:color w:val="FFFFFF" w:themeColor="background1"/>
              </w:rPr>
            </w:pPr>
            <w:r w:rsidRPr="00467FAE">
              <w:rPr>
                <w:rFonts w:eastAsia="Times New Roman"/>
                <w:b/>
                <w:bCs/>
                <w:color w:val="FFFFFF" w:themeColor="background1"/>
              </w:rPr>
              <w:t xml:space="preserve">UPI </w:t>
            </w:r>
            <w:r>
              <w:rPr>
                <w:rFonts w:eastAsia="Times New Roman"/>
                <w:b/>
                <w:bCs/>
                <w:color w:val="FFFFFF" w:themeColor="background1"/>
              </w:rPr>
              <w:t xml:space="preserve">Implementation </w:t>
            </w:r>
            <w:r w:rsidRPr="00467FAE">
              <w:rPr>
                <w:rFonts w:eastAsia="Times New Roman"/>
                <w:b/>
                <w:bCs/>
                <w:color w:val="FFFFFF" w:themeColor="background1"/>
              </w:rPr>
              <w:t>Milestones</w:t>
            </w:r>
          </w:p>
        </w:tc>
        <w:tc>
          <w:tcPr>
            <w:tcW w:w="0" w:type="auto"/>
            <w:tcBorders>
              <w:top w:val="single" w:color="FFFFFF" w:sz="8" w:space="0"/>
              <w:left w:val="single" w:color="FFFFFF" w:sz="8" w:space="0"/>
              <w:bottom w:val="single" w:color="FFFFFF" w:sz="24" w:space="0"/>
              <w:right w:val="single" w:color="FFFFFF" w:sz="8" w:space="0"/>
            </w:tcBorders>
            <w:shd w:val="clear" w:color="auto" w:fill="30AEB9"/>
            <w:tcMar>
              <w:top w:w="57" w:type="dxa"/>
              <w:left w:w="113" w:type="dxa"/>
              <w:bottom w:w="57" w:type="dxa"/>
              <w:right w:w="113" w:type="dxa"/>
            </w:tcMar>
            <w:vAlign w:val="center"/>
            <w:hideMark/>
          </w:tcPr>
          <w:p w:rsidRPr="00467FAE" w:rsidR="00F73E49" w:rsidP="0098009D" w:rsidRDefault="00F73E49" w14:paraId="25EFDCF4" w14:textId="77777777">
            <w:pPr>
              <w:spacing w:after="120"/>
              <w:jc w:val="right"/>
              <w:rPr>
                <w:rFonts w:eastAsia="Times New Roman"/>
                <w:color w:val="FFFFFF" w:themeColor="background1"/>
              </w:rPr>
            </w:pPr>
            <w:r w:rsidRPr="00467FAE">
              <w:rPr>
                <w:rFonts w:eastAsia="Times New Roman"/>
                <w:b/>
                <w:bCs/>
                <w:color w:val="FFFFFF" w:themeColor="background1"/>
              </w:rPr>
              <w:t>Date</w:t>
            </w:r>
            <w:r>
              <w:rPr>
                <w:rFonts w:eastAsia="Times New Roman"/>
                <w:b/>
                <w:bCs/>
                <w:color w:val="FFFFFF" w:themeColor="background1"/>
              </w:rPr>
              <w:t>(s)</w:t>
            </w:r>
          </w:p>
        </w:tc>
      </w:tr>
      <w:tr w:rsidRPr="00A732C7" w:rsidR="00F73E49" w:rsidTr="009A6C69" w14:paraId="30336163" w14:textId="77777777">
        <w:trPr>
          <w:trHeight w:val="192"/>
        </w:trPr>
        <w:tc>
          <w:tcPr>
            <w:tcW w:w="0" w:type="auto"/>
            <w:tcBorders>
              <w:top w:val="single" w:color="FFFFFF" w:sz="24" w:space="0"/>
              <w:left w:val="single" w:color="FFFFFF" w:sz="8" w:space="0"/>
              <w:bottom w:val="single" w:color="EEECE1" w:themeColor="background2" w:sz="8" w:space="0"/>
              <w:right w:val="single" w:color="EEECE1" w:themeColor="background2" w:sz="8" w:space="0"/>
            </w:tcBorders>
            <w:shd w:val="clear" w:color="auto" w:fill="auto"/>
            <w:tcMar>
              <w:top w:w="57" w:type="dxa"/>
              <w:left w:w="113" w:type="dxa"/>
              <w:bottom w:w="57" w:type="dxa"/>
              <w:right w:w="113" w:type="dxa"/>
            </w:tcMar>
            <w:vAlign w:val="center"/>
            <w:hideMark/>
          </w:tcPr>
          <w:p w:rsidRPr="005943A5" w:rsidR="00F73E49" w:rsidP="009A6C69" w:rsidRDefault="00F73E49" w14:paraId="52A5D457" w14:textId="77777777">
            <w:pPr>
              <w:spacing w:after="120"/>
              <w:jc w:val="center"/>
              <w:rPr>
                <w:rFonts w:eastAsia="Times New Roman"/>
                <w:b/>
                <w:bCs/>
              </w:rPr>
            </w:pPr>
            <w:r w:rsidRPr="005943A5">
              <w:rPr>
                <w:rFonts w:eastAsia="Times New Roman"/>
                <w:b/>
                <w:bCs/>
              </w:rPr>
              <w:t>1</w:t>
            </w:r>
          </w:p>
        </w:tc>
        <w:tc>
          <w:tcPr>
            <w:tcW w:w="6092" w:type="dxa"/>
            <w:tcBorders>
              <w:top w:val="single" w:color="FFFFFF" w:sz="24" w:space="0"/>
              <w:left w:val="single" w:color="EEECE1" w:themeColor="background2" w:sz="8" w:space="0"/>
              <w:bottom w:val="single" w:color="EEECE1" w:themeColor="background2" w:sz="8" w:space="0"/>
              <w:right w:val="single" w:color="EEECE1" w:themeColor="background2" w:sz="8" w:space="0"/>
            </w:tcBorders>
            <w:shd w:val="clear" w:color="auto" w:fill="auto"/>
            <w:tcMar>
              <w:top w:w="57" w:type="dxa"/>
              <w:left w:w="113" w:type="dxa"/>
              <w:bottom w:w="57" w:type="dxa"/>
              <w:right w:w="113" w:type="dxa"/>
            </w:tcMar>
            <w:vAlign w:val="center"/>
            <w:hideMark/>
          </w:tcPr>
          <w:p w:rsidRPr="00A732C7" w:rsidR="00F73E49" w:rsidP="0098009D" w:rsidRDefault="00F73E49" w14:paraId="3ECFF109" w14:textId="77777777">
            <w:pPr>
              <w:spacing w:after="120"/>
              <w:rPr>
                <w:rFonts w:eastAsia="Times New Roman"/>
              </w:rPr>
            </w:pPr>
            <w:r>
              <w:rPr>
                <w:rFonts w:eastAsia="Times New Roman"/>
              </w:rPr>
              <w:t>1</w:t>
            </w:r>
            <w:r w:rsidRPr="00C85102">
              <w:rPr>
                <w:rFonts w:eastAsia="Times New Roman"/>
                <w:vertAlign w:val="superscript"/>
              </w:rPr>
              <w:t>st</w:t>
            </w:r>
            <w:r>
              <w:rPr>
                <w:rFonts w:eastAsia="Times New Roman"/>
              </w:rPr>
              <w:t xml:space="preserve"> UPI </w:t>
            </w:r>
            <w:r w:rsidRPr="00A732C7">
              <w:rPr>
                <w:rFonts w:eastAsia="Times New Roman"/>
              </w:rPr>
              <w:t xml:space="preserve">Fee Model Consultation </w:t>
            </w:r>
            <w:r>
              <w:rPr>
                <w:rFonts w:eastAsia="Times New Roman"/>
              </w:rPr>
              <w:t>period</w:t>
            </w:r>
          </w:p>
        </w:tc>
        <w:tc>
          <w:tcPr>
            <w:tcW w:w="0" w:type="auto"/>
            <w:tcBorders>
              <w:top w:val="single" w:color="FFFFFF" w:sz="24" w:space="0"/>
              <w:left w:val="single" w:color="EEECE1" w:themeColor="background2" w:sz="8" w:space="0"/>
              <w:bottom w:val="single" w:color="EEECE1" w:themeColor="background2" w:sz="8" w:space="0"/>
              <w:right w:val="single" w:color="FFFFFF" w:sz="8" w:space="0"/>
            </w:tcBorders>
            <w:shd w:val="clear" w:color="auto" w:fill="auto"/>
            <w:tcMar>
              <w:top w:w="57" w:type="dxa"/>
              <w:left w:w="113" w:type="dxa"/>
              <w:bottom w:w="57" w:type="dxa"/>
              <w:right w:w="113" w:type="dxa"/>
            </w:tcMar>
            <w:vAlign w:val="center"/>
            <w:hideMark/>
          </w:tcPr>
          <w:p w:rsidRPr="00A732C7" w:rsidR="00F73E49" w:rsidP="0098009D" w:rsidRDefault="00F73E49" w14:paraId="4A5EC188" w14:textId="77777777">
            <w:pPr>
              <w:spacing w:after="120"/>
              <w:jc w:val="right"/>
              <w:rPr>
                <w:rFonts w:eastAsia="Times New Roman"/>
              </w:rPr>
            </w:pPr>
            <w:r w:rsidRPr="00A732C7">
              <w:rPr>
                <w:rFonts w:eastAsia="Times New Roman"/>
              </w:rPr>
              <w:t>11</w:t>
            </w:r>
            <w:r w:rsidRPr="00FC6527">
              <w:rPr>
                <w:rFonts w:eastAsia="Times New Roman"/>
                <w:vertAlign w:val="superscript"/>
              </w:rPr>
              <w:t>th</w:t>
            </w:r>
            <w:r>
              <w:rPr>
                <w:rFonts w:eastAsia="Times New Roman"/>
              </w:rPr>
              <w:t xml:space="preserve"> Jan </w:t>
            </w:r>
            <w:r w:rsidRPr="00A732C7">
              <w:rPr>
                <w:rFonts w:eastAsia="Times New Roman"/>
              </w:rPr>
              <w:t xml:space="preserve">– </w:t>
            </w:r>
            <w:r>
              <w:rPr>
                <w:rFonts w:eastAsia="Times New Roman"/>
              </w:rPr>
              <w:t>5</w:t>
            </w:r>
            <w:r w:rsidRPr="00FC6527">
              <w:rPr>
                <w:rFonts w:eastAsia="Times New Roman"/>
                <w:vertAlign w:val="superscript"/>
              </w:rPr>
              <w:t>th</w:t>
            </w:r>
            <w:r>
              <w:rPr>
                <w:rFonts w:eastAsia="Times New Roman"/>
              </w:rPr>
              <w:t xml:space="preserve"> Mar </w:t>
            </w:r>
            <w:r w:rsidRPr="00A732C7">
              <w:rPr>
                <w:rFonts w:eastAsia="Times New Roman"/>
              </w:rPr>
              <w:t>2021</w:t>
            </w:r>
          </w:p>
        </w:tc>
      </w:tr>
      <w:tr w:rsidRPr="00A732C7" w:rsidR="009A6C69" w:rsidTr="009A6C69" w14:paraId="5AC75626" w14:textId="77777777">
        <w:trPr>
          <w:trHeight w:val="192"/>
        </w:trPr>
        <w:tc>
          <w:tcPr>
            <w:tcW w:w="0" w:type="auto"/>
            <w:tcBorders>
              <w:top w:val="single" w:color="EEECE1" w:themeColor="background2" w:sz="8" w:space="0"/>
              <w:left w:val="single" w:color="FFFFFF" w:sz="8" w:space="0"/>
              <w:bottom w:val="single" w:color="EEECE1" w:themeColor="background2" w:sz="8" w:space="0"/>
              <w:right w:val="single" w:color="EEECE1" w:themeColor="background2" w:sz="8" w:space="0"/>
            </w:tcBorders>
            <w:shd w:val="clear" w:color="auto" w:fill="CBEEF1"/>
            <w:tcMar>
              <w:top w:w="57" w:type="dxa"/>
              <w:left w:w="113" w:type="dxa"/>
              <w:bottom w:w="57" w:type="dxa"/>
              <w:right w:w="113" w:type="dxa"/>
            </w:tcMar>
            <w:vAlign w:val="center"/>
            <w:hideMark/>
          </w:tcPr>
          <w:p w:rsidRPr="005943A5" w:rsidR="00F73E49" w:rsidP="009A6C69" w:rsidRDefault="00F73E49" w14:paraId="3E2BEAC8" w14:textId="77777777">
            <w:pPr>
              <w:spacing w:after="120"/>
              <w:jc w:val="center"/>
              <w:rPr>
                <w:rFonts w:eastAsia="Times New Roman"/>
                <w:b/>
                <w:bCs/>
              </w:rPr>
            </w:pPr>
            <w:r w:rsidRPr="005943A5">
              <w:rPr>
                <w:rFonts w:eastAsia="Times New Roman"/>
                <w:b/>
                <w:bCs/>
              </w:rPr>
              <w:t>2</w:t>
            </w:r>
          </w:p>
        </w:tc>
        <w:tc>
          <w:tcPr>
            <w:tcW w:w="6092" w:type="dxa"/>
            <w:tcBorders>
              <w:top w:val="single" w:color="EEECE1" w:themeColor="background2" w:sz="8" w:space="0"/>
              <w:left w:val="single" w:color="EEECE1" w:themeColor="background2" w:sz="8" w:space="0"/>
              <w:bottom w:val="single" w:color="EEECE1" w:themeColor="background2" w:sz="8" w:space="0"/>
              <w:right w:val="single" w:color="EEECE1" w:themeColor="background2" w:sz="8" w:space="0"/>
            </w:tcBorders>
            <w:shd w:val="clear" w:color="auto" w:fill="CBEEF1"/>
            <w:tcMar>
              <w:top w:w="57" w:type="dxa"/>
              <w:left w:w="113" w:type="dxa"/>
              <w:bottom w:w="57" w:type="dxa"/>
              <w:right w:w="113" w:type="dxa"/>
            </w:tcMar>
            <w:vAlign w:val="center"/>
            <w:hideMark/>
          </w:tcPr>
          <w:p w:rsidRPr="00A732C7" w:rsidR="00F73E49" w:rsidP="0098009D" w:rsidRDefault="00F73E49" w14:paraId="35DAD000" w14:textId="3C65E9F4">
            <w:pPr>
              <w:spacing w:after="120"/>
              <w:rPr>
                <w:rFonts w:eastAsia="Times New Roman"/>
              </w:rPr>
            </w:pPr>
            <w:r w:rsidRPr="00A732C7">
              <w:rPr>
                <w:rFonts w:eastAsia="Times New Roman"/>
              </w:rPr>
              <w:t>List of Product Templates published</w:t>
            </w:r>
            <w:r>
              <w:rPr>
                <w:rFonts w:eastAsia="Times New Roman"/>
              </w:rPr>
              <w:t xml:space="preserve"> for user information</w:t>
            </w:r>
          </w:p>
        </w:tc>
        <w:tc>
          <w:tcPr>
            <w:tcW w:w="0" w:type="auto"/>
            <w:tcBorders>
              <w:top w:val="single" w:color="EEECE1" w:themeColor="background2" w:sz="8" w:space="0"/>
              <w:left w:val="single" w:color="EEECE1" w:themeColor="background2" w:sz="8" w:space="0"/>
              <w:bottom w:val="single" w:color="EEECE1" w:themeColor="background2" w:sz="8" w:space="0"/>
              <w:right w:val="single" w:color="FFFFFF" w:sz="8" w:space="0"/>
            </w:tcBorders>
            <w:shd w:val="clear" w:color="auto" w:fill="CBEEF1"/>
            <w:tcMar>
              <w:top w:w="57" w:type="dxa"/>
              <w:left w:w="113" w:type="dxa"/>
              <w:bottom w:w="57" w:type="dxa"/>
              <w:right w:w="113" w:type="dxa"/>
            </w:tcMar>
            <w:vAlign w:val="center"/>
            <w:hideMark/>
          </w:tcPr>
          <w:p w:rsidRPr="00A732C7" w:rsidR="00F73E49" w:rsidP="0098009D" w:rsidRDefault="00F73E49" w14:paraId="266A6592" w14:textId="77777777">
            <w:pPr>
              <w:spacing w:after="120"/>
              <w:jc w:val="right"/>
              <w:rPr>
                <w:rFonts w:eastAsia="Times New Roman"/>
              </w:rPr>
            </w:pPr>
            <w:r w:rsidRPr="00A732C7">
              <w:rPr>
                <w:rFonts w:eastAsia="Times New Roman"/>
              </w:rPr>
              <w:t>30</w:t>
            </w:r>
            <w:r w:rsidRPr="00FC6527">
              <w:rPr>
                <w:rFonts w:eastAsia="Times New Roman"/>
                <w:vertAlign w:val="superscript"/>
              </w:rPr>
              <w:t>th</w:t>
            </w:r>
            <w:r>
              <w:rPr>
                <w:rFonts w:eastAsia="Times New Roman"/>
              </w:rPr>
              <w:t xml:space="preserve"> Apr </w:t>
            </w:r>
            <w:r w:rsidRPr="00A732C7">
              <w:rPr>
                <w:rFonts w:eastAsia="Times New Roman"/>
              </w:rPr>
              <w:t>2021</w:t>
            </w:r>
          </w:p>
        </w:tc>
      </w:tr>
      <w:tr w:rsidRPr="00A732C7" w:rsidR="00F73E49" w:rsidTr="009A6C69" w14:paraId="7BF6EF61" w14:textId="77777777">
        <w:trPr>
          <w:trHeight w:val="192"/>
        </w:trPr>
        <w:tc>
          <w:tcPr>
            <w:tcW w:w="0" w:type="auto"/>
            <w:tcBorders>
              <w:top w:val="single" w:color="EEECE1" w:themeColor="background2" w:sz="8" w:space="0"/>
              <w:left w:val="single" w:color="FFFFFF" w:sz="8" w:space="0"/>
              <w:bottom w:val="single" w:color="EEECE1" w:themeColor="background2" w:sz="8" w:space="0"/>
              <w:right w:val="single" w:color="EEECE1" w:themeColor="background2" w:sz="8" w:space="0"/>
            </w:tcBorders>
            <w:shd w:val="clear" w:color="auto" w:fill="auto"/>
            <w:tcMar>
              <w:top w:w="57" w:type="dxa"/>
              <w:left w:w="113" w:type="dxa"/>
              <w:bottom w:w="57" w:type="dxa"/>
              <w:right w:w="113" w:type="dxa"/>
            </w:tcMar>
            <w:vAlign w:val="center"/>
            <w:hideMark/>
          </w:tcPr>
          <w:p w:rsidRPr="005943A5" w:rsidR="00F73E49" w:rsidP="009A6C69" w:rsidRDefault="00F73E49" w14:paraId="2C40CDEB" w14:textId="77777777">
            <w:pPr>
              <w:spacing w:after="120"/>
              <w:jc w:val="center"/>
              <w:rPr>
                <w:rFonts w:eastAsia="Times New Roman"/>
                <w:b/>
                <w:bCs/>
              </w:rPr>
            </w:pPr>
            <w:r w:rsidRPr="005943A5">
              <w:rPr>
                <w:rFonts w:eastAsia="Times New Roman"/>
                <w:b/>
                <w:bCs/>
              </w:rPr>
              <w:t>3</w:t>
            </w:r>
          </w:p>
        </w:tc>
        <w:tc>
          <w:tcPr>
            <w:tcW w:w="6092" w:type="dxa"/>
            <w:tcBorders>
              <w:top w:val="single" w:color="EEECE1" w:themeColor="background2" w:sz="8" w:space="0"/>
              <w:left w:val="single" w:color="EEECE1" w:themeColor="background2" w:sz="8" w:space="0"/>
              <w:bottom w:val="single" w:color="EEECE1" w:themeColor="background2" w:sz="8" w:space="0"/>
              <w:right w:val="single" w:color="EEECE1" w:themeColor="background2" w:sz="8" w:space="0"/>
            </w:tcBorders>
            <w:shd w:val="clear" w:color="auto" w:fill="auto"/>
            <w:tcMar>
              <w:top w:w="57" w:type="dxa"/>
              <w:left w:w="113" w:type="dxa"/>
              <w:bottom w:w="57" w:type="dxa"/>
              <w:right w:w="113" w:type="dxa"/>
            </w:tcMar>
            <w:vAlign w:val="center"/>
            <w:hideMark/>
          </w:tcPr>
          <w:p w:rsidRPr="00A732C7" w:rsidR="00F73E49" w:rsidP="0098009D" w:rsidRDefault="00F73E49" w14:paraId="4D28693E" w14:textId="2CCD1507">
            <w:pPr>
              <w:spacing w:after="120"/>
              <w:rPr>
                <w:rFonts w:eastAsia="Times New Roman"/>
              </w:rPr>
            </w:pPr>
            <w:r>
              <w:rPr>
                <w:rFonts w:eastAsia="Times New Roman"/>
              </w:rPr>
              <w:t>Draft A</w:t>
            </w:r>
            <w:r w:rsidRPr="00A732C7">
              <w:rPr>
                <w:rFonts w:eastAsia="Times New Roman"/>
              </w:rPr>
              <w:t xml:space="preserve">PI and Connectivity Specifications </w:t>
            </w:r>
            <w:r>
              <w:rPr>
                <w:rFonts w:eastAsia="Times New Roman"/>
              </w:rPr>
              <w:t>(rules of engagement) published</w:t>
            </w:r>
          </w:p>
        </w:tc>
        <w:tc>
          <w:tcPr>
            <w:tcW w:w="0" w:type="auto"/>
            <w:tcBorders>
              <w:top w:val="single" w:color="EEECE1" w:themeColor="background2" w:sz="8" w:space="0"/>
              <w:left w:val="single" w:color="EEECE1" w:themeColor="background2" w:sz="8" w:space="0"/>
              <w:bottom w:val="single" w:color="EEECE1" w:themeColor="background2" w:sz="8" w:space="0"/>
              <w:right w:val="single" w:color="FFFFFF" w:sz="8" w:space="0"/>
            </w:tcBorders>
            <w:shd w:val="clear" w:color="auto" w:fill="auto"/>
            <w:tcMar>
              <w:top w:w="57" w:type="dxa"/>
              <w:left w:w="113" w:type="dxa"/>
              <w:bottom w:w="57" w:type="dxa"/>
              <w:right w:w="113" w:type="dxa"/>
            </w:tcMar>
            <w:vAlign w:val="center"/>
            <w:hideMark/>
          </w:tcPr>
          <w:p w:rsidRPr="00A732C7" w:rsidR="00F73E49" w:rsidP="0098009D" w:rsidRDefault="00F73E49" w14:paraId="225A4432" w14:textId="77777777">
            <w:pPr>
              <w:spacing w:after="120"/>
              <w:jc w:val="right"/>
              <w:rPr>
                <w:rFonts w:eastAsia="Times New Roman"/>
              </w:rPr>
            </w:pPr>
            <w:r w:rsidRPr="00A732C7">
              <w:rPr>
                <w:rFonts w:eastAsia="Times New Roman"/>
              </w:rPr>
              <w:t>30</w:t>
            </w:r>
            <w:r w:rsidRPr="00FC6527">
              <w:rPr>
                <w:rFonts w:eastAsia="Times New Roman"/>
                <w:vertAlign w:val="superscript"/>
              </w:rPr>
              <w:t>th</w:t>
            </w:r>
            <w:r>
              <w:rPr>
                <w:rFonts w:eastAsia="Times New Roman"/>
              </w:rPr>
              <w:t xml:space="preserve"> Apr </w:t>
            </w:r>
            <w:r w:rsidRPr="00A732C7">
              <w:rPr>
                <w:rFonts w:eastAsia="Times New Roman"/>
              </w:rPr>
              <w:t>2021</w:t>
            </w:r>
          </w:p>
        </w:tc>
      </w:tr>
      <w:tr w:rsidRPr="00A732C7" w:rsidR="009A6C69" w:rsidTr="009A6C69" w14:paraId="6F7823B5" w14:textId="77777777">
        <w:trPr>
          <w:trHeight w:val="192"/>
        </w:trPr>
        <w:tc>
          <w:tcPr>
            <w:tcW w:w="0" w:type="auto"/>
            <w:tcBorders>
              <w:top w:val="single" w:color="EEECE1" w:themeColor="background2" w:sz="8" w:space="0"/>
              <w:left w:val="single" w:color="FFFFFF" w:sz="8" w:space="0"/>
              <w:bottom w:val="single" w:color="EEECE1" w:themeColor="background2" w:sz="8" w:space="0"/>
              <w:right w:val="single" w:color="EEECE1" w:themeColor="background2" w:sz="8" w:space="0"/>
            </w:tcBorders>
            <w:shd w:val="clear" w:color="auto" w:fill="CBEEF1"/>
            <w:tcMar>
              <w:top w:w="57" w:type="dxa"/>
              <w:left w:w="113" w:type="dxa"/>
              <w:bottom w:w="57" w:type="dxa"/>
              <w:right w:w="113" w:type="dxa"/>
            </w:tcMar>
            <w:vAlign w:val="center"/>
            <w:hideMark/>
          </w:tcPr>
          <w:p w:rsidRPr="005943A5" w:rsidR="00F73E49" w:rsidP="009A6C69" w:rsidRDefault="00F73E49" w14:paraId="4B4A4570" w14:textId="77777777">
            <w:pPr>
              <w:spacing w:after="120"/>
              <w:jc w:val="center"/>
              <w:rPr>
                <w:rFonts w:eastAsia="Times New Roman"/>
                <w:b/>
                <w:bCs/>
              </w:rPr>
            </w:pPr>
            <w:r w:rsidRPr="005943A5">
              <w:rPr>
                <w:rFonts w:eastAsia="Times New Roman"/>
                <w:b/>
                <w:bCs/>
              </w:rPr>
              <w:t>4</w:t>
            </w:r>
          </w:p>
        </w:tc>
        <w:tc>
          <w:tcPr>
            <w:tcW w:w="6092" w:type="dxa"/>
            <w:tcBorders>
              <w:top w:val="single" w:color="EEECE1" w:themeColor="background2" w:sz="8" w:space="0"/>
              <w:left w:val="single" w:color="EEECE1" w:themeColor="background2" w:sz="8" w:space="0"/>
              <w:bottom w:val="single" w:color="EEECE1" w:themeColor="background2" w:sz="8" w:space="0"/>
              <w:right w:val="single" w:color="EEECE1" w:themeColor="background2" w:sz="8" w:space="0"/>
            </w:tcBorders>
            <w:shd w:val="clear" w:color="auto" w:fill="CBEEF1"/>
            <w:tcMar>
              <w:top w:w="57" w:type="dxa"/>
              <w:left w:w="113" w:type="dxa"/>
              <w:bottom w:w="57" w:type="dxa"/>
              <w:right w:w="113" w:type="dxa"/>
            </w:tcMar>
            <w:vAlign w:val="center"/>
            <w:hideMark/>
          </w:tcPr>
          <w:p w:rsidRPr="00A732C7" w:rsidR="00F73E49" w:rsidP="0098009D" w:rsidRDefault="00F73E49" w14:paraId="7B56B46C" w14:textId="52AC7540">
            <w:pPr>
              <w:spacing w:after="120"/>
              <w:rPr>
                <w:rFonts w:eastAsia="Times New Roman"/>
              </w:rPr>
            </w:pPr>
            <w:r>
              <w:rPr>
                <w:rFonts w:eastAsia="Times New Roman"/>
              </w:rPr>
              <w:t>2</w:t>
            </w:r>
            <w:r w:rsidRPr="00C85102">
              <w:rPr>
                <w:rFonts w:eastAsia="Times New Roman"/>
                <w:vertAlign w:val="superscript"/>
              </w:rPr>
              <w:t>nd</w:t>
            </w:r>
            <w:r>
              <w:rPr>
                <w:rFonts w:eastAsia="Times New Roman"/>
              </w:rPr>
              <w:t xml:space="preserve"> UPI </w:t>
            </w:r>
            <w:r w:rsidRPr="00A732C7">
              <w:rPr>
                <w:rFonts w:eastAsia="Times New Roman"/>
              </w:rPr>
              <w:t xml:space="preserve">Fee Model Consultation </w:t>
            </w:r>
            <w:r>
              <w:rPr>
                <w:rFonts w:eastAsia="Times New Roman"/>
              </w:rPr>
              <w:t>paper published</w:t>
            </w:r>
          </w:p>
        </w:tc>
        <w:tc>
          <w:tcPr>
            <w:tcW w:w="0" w:type="auto"/>
            <w:tcBorders>
              <w:top w:val="single" w:color="EEECE1" w:themeColor="background2" w:sz="8" w:space="0"/>
              <w:left w:val="single" w:color="EEECE1" w:themeColor="background2" w:sz="8" w:space="0"/>
              <w:bottom w:val="single" w:color="EEECE1" w:themeColor="background2" w:sz="8" w:space="0"/>
              <w:right w:val="single" w:color="FFFFFF" w:sz="8" w:space="0"/>
            </w:tcBorders>
            <w:shd w:val="clear" w:color="auto" w:fill="CBEEF1"/>
            <w:tcMar>
              <w:top w:w="57" w:type="dxa"/>
              <w:left w:w="113" w:type="dxa"/>
              <w:bottom w:w="57" w:type="dxa"/>
              <w:right w:w="113" w:type="dxa"/>
            </w:tcMar>
            <w:vAlign w:val="center"/>
            <w:hideMark/>
          </w:tcPr>
          <w:p w:rsidRPr="00A732C7" w:rsidR="00F73E49" w:rsidP="0098009D" w:rsidRDefault="00F73E49" w14:paraId="4854922A" w14:textId="77777777">
            <w:pPr>
              <w:spacing w:after="120"/>
              <w:jc w:val="right"/>
              <w:rPr>
                <w:rFonts w:eastAsia="Times New Roman"/>
              </w:rPr>
            </w:pPr>
            <w:r w:rsidRPr="00A732C7">
              <w:rPr>
                <w:rFonts w:eastAsia="Times New Roman"/>
              </w:rPr>
              <w:t>10</w:t>
            </w:r>
            <w:r w:rsidRPr="00C85102">
              <w:rPr>
                <w:rFonts w:eastAsia="Times New Roman"/>
                <w:vertAlign w:val="superscript"/>
              </w:rPr>
              <w:t>th</w:t>
            </w:r>
            <w:r>
              <w:rPr>
                <w:rFonts w:eastAsia="Times New Roman"/>
              </w:rPr>
              <w:t xml:space="preserve"> May </w:t>
            </w:r>
            <w:r w:rsidRPr="00A732C7">
              <w:rPr>
                <w:rFonts w:eastAsia="Times New Roman"/>
              </w:rPr>
              <w:t>– 9</w:t>
            </w:r>
            <w:r w:rsidRPr="00C85102">
              <w:rPr>
                <w:rFonts w:eastAsia="Times New Roman"/>
                <w:vertAlign w:val="superscript"/>
              </w:rPr>
              <w:t>th</w:t>
            </w:r>
            <w:r>
              <w:rPr>
                <w:rFonts w:eastAsia="Times New Roman"/>
              </w:rPr>
              <w:t xml:space="preserve"> Jul 2</w:t>
            </w:r>
            <w:r w:rsidRPr="00A732C7">
              <w:rPr>
                <w:rFonts w:eastAsia="Times New Roman"/>
              </w:rPr>
              <w:t>021</w:t>
            </w:r>
          </w:p>
        </w:tc>
      </w:tr>
      <w:tr w:rsidRPr="00A732C7" w:rsidR="00F73E49" w:rsidTr="009A6C69" w14:paraId="3115A4AD" w14:textId="77777777">
        <w:trPr>
          <w:trHeight w:val="192"/>
        </w:trPr>
        <w:tc>
          <w:tcPr>
            <w:tcW w:w="0" w:type="auto"/>
            <w:tcBorders>
              <w:top w:val="single" w:color="EEECE1" w:themeColor="background2" w:sz="8" w:space="0"/>
              <w:left w:val="single" w:color="FFFFFF" w:sz="8" w:space="0"/>
              <w:bottom w:val="single" w:color="EEECE1" w:themeColor="background2" w:sz="8" w:space="0"/>
              <w:right w:val="single" w:color="EEECE1" w:themeColor="background2" w:sz="8" w:space="0"/>
            </w:tcBorders>
            <w:shd w:val="clear" w:color="auto" w:fill="auto"/>
            <w:tcMar>
              <w:top w:w="57" w:type="dxa"/>
              <w:left w:w="113" w:type="dxa"/>
              <w:bottom w:w="57" w:type="dxa"/>
              <w:right w:w="113" w:type="dxa"/>
            </w:tcMar>
            <w:vAlign w:val="center"/>
            <w:hideMark/>
          </w:tcPr>
          <w:p w:rsidRPr="005943A5" w:rsidR="00F73E49" w:rsidP="009A6C69" w:rsidRDefault="00F73E49" w14:paraId="6EFEB769" w14:textId="77777777">
            <w:pPr>
              <w:spacing w:after="120"/>
              <w:jc w:val="center"/>
              <w:rPr>
                <w:rFonts w:eastAsia="Times New Roman"/>
                <w:b/>
                <w:bCs/>
              </w:rPr>
            </w:pPr>
            <w:r w:rsidRPr="005943A5">
              <w:rPr>
                <w:rFonts w:eastAsia="Times New Roman"/>
                <w:b/>
                <w:bCs/>
              </w:rPr>
              <w:t>5</w:t>
            </w:r>
          </w:p>
        </w:tc>
        <w:tc>
          <w:tcPr>
            <w:tcW w:w="6092" w:type="dxa"/>
            <w:tcBorders>
              <w:top w:val="single" w:color="EEECE1" w:themeColor="background2" w:sz="8" w:space="0"/>
              <w:left w:val="single" w:color="EEECE1" w:themeColor="background2" w:sz="8" w:space="0"/>
              <w:bottom w:val="single" w:color="EEECE1" w:themeColor="background2" w:sz="8" w:space="0"/>
              <w:right w:val="single" w:color="EEECE1" w:themeColor="background2" w:sz="8" w:space="0"/>
            </w:tcBorders>
            <w:shd w:val="clear" w:color="auto" w:fill="auto"/>
            <w:tcMar>
              <w:top w:w="57" w:type="dxa"/>
              <w:left w:w="113" w:type="dxa"/>
              <w:bottom w:w="57" w:type="dxa"/>
              <w:right w:w="113" w:type="dxa"/>
            </w:tcMar>
            <w:vAlign w:val="center"/>
            <w:hideMark/>
          </w:tcPr>
          <w:p w:rsidRPr="00A732C7" w:rsidR="00F73E49" w:rsidP="0098009D" w:rsidRDefault="00F73E49" w14:paraId="3CCF1D46" w14:textId="3D1AEB92">
            <w:pPr>
              <w:spacing w:after="120"/>
              <w:rPr>
                <w:rFonts w:eastAsia="Times New Roman"/>
              </w:rPr>
            </w:pPr>
            <w:r>
              <w:rPr>
                <w:rFonts w:eastAsia="Times New Roman"/>
              </w:rPr>
              <w:t xml:space="preserve">Final </w:t>
            </w:r>
            <w:r w:rsidRPr="00A732C7">
              <w:rPr>
                <w:rFonts w:eastAsia="Times New Roman"/>
              </w:rPr>
              <w:t>API and Connectivity Specifications</w:t>
            </w:r>
            <w:r>
              <w:rPr>
                <w:rFonts w:eastAsia="Times New Roman"/>
              </w:rPr>
              <w:t xml:space="preserve"> (rules of engagement)</w:t>
            </w:r>
            <w:r w:rsidRPr="00A732C7">
              <w:rPr>
                <w:rFonts w:eastAsia="Times New Roman"/>
              </w:rPr>
              <w:t xml:space="preserve"> </w:t>
            </w:r>
            <w:r>
              <w:rPr>
                <w:rFonts w:eastAsia="Times New Roman"/>
              </w:rPr>
              <w:t xml:space="preserve">+ draft UPI </w:t>
            </w:r>
            <w:r w:rsidRPr="00A732C7">
              <w:rPr>
                <w:rFonts w:eastAsia="Times New Roman"/>
              </w:rPr>
              <w:t>Product Template</w:t>
            </w:r>
            <w:r>
              <w:rPr>
                <w:rFonts w:eastAsia="Times New Roman"/>
              </w:rPr>
              <w:t xml:space="preserve"> documentation published</w:t>
            </w:r>
          </w:p>
        </w:tc>
        <w:tc>
          <w:tcPr>
            <w:tcW w:w="0" w:type="auto"/>
            <w:tcBorders>
              <w:top w:val="single" w:color="EEECE1" w:themeColor="background2" w:sz="8" w:space="0"/>
              <w:left w:val="single" w:color="EEECE1" w:themeColor="background2" w:sz="8" w:space="0"/>
              <w:bottom w:val="single" w:color="EEECE1" w:themeColor="background2" w:sz="8" w:space="0"/>
              <w:right w:val="single" w:color="FFFFFF" w:sz="8" w:space="0"/>
            </w:tcBorders>
            <w:shd w:val="clear" w:color="auto" w:fill="auto"/>
            <w:tcMar>
              <w:top w:w="57" w:type="dxa"/>
              <w:left w:w="113" w:type="dxa"/>
              <w:bottom w:w="57" w:type="dxa"/>
              <w:right w:w="113" w:type="dxa"/>
            </w:tcMar>
            <w:vAlign w:val="center"/>
            <w:hideMark/>
          </w:tcPr>
          <w:p w:rsidRPr="00A732C7" w:rsidR="00F73E49" w:rsidP="0098009D" w:rsidRDefault="00F73E49" w14:paraId="70A2D015" w14:textId="77777777">
            <w:pPr>
              <w:spacing w:after="120"/>
              <w:jc w:val="right"/>
              <w:rPr>
                <w:rFonts w:eastAsia="Times New Roman"/>
              </w:rPr>
            </w:pPr>
            <w:r w:rsidRPr="00A732C7">
              <w:rPr>
                <w:rFonts w:eastAsia="Times New Roman"/>
              </w:rPr>
              <w:t>30</w:t>
            </w:r>
            <w:r w:rsidRPr="00C85102">
              <w:rPr>
                <w:rFonts w:eastAsia="Times New Roman"/>
                <w:vertAlign w:val="superscript"/>
              </w:rPr>
              <w:t>th</w:t>
            </w:r>
            <w:r>
              <w:rPr>
                <w:rFonts w:eastAsia="Times New Roman"/>
              </w:rPr>
              <w:t xml:space="preserve"> Jun </w:t>
            </w:r>
            <w:r w:rsidRPr="00A732C7">
              <w:rPr>
                <w:rFonts w:eastAsia="Times New Roman"/>
              </w:rPr>
              <w:t>2021</w:t>
            </w:r>
          </w:p>
        </w:tc>
      </w:tr>
      <w:tr w:rsidRPr="00A732C7" w:rsidR="009A6C69" w:rsidTr="009A6C69" w14:paraId="250E6D80" w14:textId="77777777">
        <w:trPr>
          <w:trHeight w:val="192"/>
        </w:trPr>
        <w:tc>
          <w:tcPr>
            <w:tcW w:w="0" w:type="auto"/>
            <w:tcBorders>
              <w:top w:val="single" w:color="EEECE1" w:themeColor="background2" w:sz="8" w:space="0"/>
              <w:left w:val="single" w:color="FFFFFF" w:sz="8" w:space="0"/>
              <w:bottom w:val="single" w:color="EEECE1" w:themeColor="background2" w:sz="8" w:space="0"/>
              <w:right w:val="single" w:color="EEECE1" w:themeColor="background2" w:sz="8" w:space="0"/>
            </w:tcBorders>
            <w:shd w:val="clear" w:color="auto" w:fill="CBEEF1"/>
            <w:tcMar>
              <w:top w:w="57" w:type="dxa"/>
              <w:left w:w="113" w:type="dxa"/>
              <w:bottom w:w="57" w:type="dxa"/>
              <w:right w:w="113" w:type="dxa"/>
            </w:tcMar>
            <w:vAlign w:val="center"/>
          </w:tcPr>
          <w:p w:rsidRPr="005943A5" w:rsidR="00F73E49" w:rsidP="009A6C69" w:rsidRDefault="00F73E49" w14:paraId="265B3BD1" w14:textId="77777777">
            <w:pPr>
              <w:spacing w:after="120"/>
              <w:jc w:val="center"/>
              <w:rPr>
                <w:rFonts w:eastAsia="Times New Roman"/>
                <w:b/>
                <w:bCs/>
              </w:rPr>
            </w:pPr>
            <w:r>
              <w:rPr>
                <w:rFonts w:eastAsia="Times New Roman"/>
                <w:b/>
                <w:bCs/>
              </w:rPr>
              <w:t>6</w:t>
            </w:r>
          </w:p>
        </w:tc>
        <w:tc>
          <w:tcPr>
            <w:tcW w:w="6092" w:type="dxa"/>
            <w:tcBorders>
              <w:top w:val="single" w:color="EEECE1" w:themeColor="background2" w:sz="8" w:space="0"/>
              <w:left w:val="single" w:color="EEECE1" w:themeColor="background2" w:sz="8" w:space="0"/>
              <w:bottom w:val="single" w:color="EEECE1" w:themeColor="background2" w:sz="8" w:space="0"/>
              <w:right w:val="single" w:color="EEECE1" w:themeColor="background2" w:sz="8" w:space="0"/>
            </w:tcBorders>
            <w:shd w:val="clear" w:color="auto" w:fill="CBEEF1"/>
            <w:tcMar>
              <w:top w:w="57" w:type="dxa"/>
              <w:left w:w="113" w:type="dxa"/>
              <w:bottom w:w="57" w:type="dxa"/>
              <w:right w:w="113" w:type="dxa"/>
            </w:tcMar>
            <w:vAlign w:val="center"/>
          </w:tcPr>
          <w:p w:rsidRPr="00A732C7" w:rsidR="00F73E49" w:rsidP="0098009D" w:rsidRDefault="00F73E49" w14:paraId="151298E5" w14:textId="1177C99C">
            <w:pPr>
              <w:spacing w:after="120"/>
              <w:rPr>
                <w:rFonts w:eastAsia="Times New Roman"/>
              </w:rPr>
            </w:pPr>
            <w:r>
              <w:rPr>
                <w:rFonts w:eastAsia="Times New Roman"/>
              </w:rPr>
              <w:t>Industry Feedback window closes for 2</w:t>
            </w:r>
            <w:r w:rsidRPr="004001D2">
              <w:rPr>
                <w:rFonts w:eastAsia="Times New Roman"/>
                <w:vertAlign w:val="superscript"/>
              </w:rPr>
              <w:t>nd</w:t>
            </w:r>
            <w:r>
              <w:rPr>
                <w:rFonts w:eastAsia="Times New Roman"/>
              </w:rPr>
              <w:t xml:space="preserve"> UPI Fee Model Consultation </w:t>
            </w:r>
          </w:p>
        </w:tc>
        <w:tc>
          <w:tcPr>
            <w:tcW w:w="0" w:type="auto"/>
            <w:tcBorders>
              <w:top w:val="single" w:color="EEECE1" w:themeColor="background2" w:sz="8" w:space="0"/>
              <w:left w:val="single" w:color="EEECE1" w:themeColor="background2" w:sz="8" w:space="0"/>
              <w:bottom w:val="single" w:color="EEECE1" w:themeColor="background2" w:sz="8" w:space="0"/>
              <w:right w:val="single" w:color="FFFFFF" w:sz="8" w:space="0"/>
            </w:tcBorders>
            <w:shd w:val="clear" w:color="auto" w:fill="CBEEF1"/>
            <w:tcMar>
              <w:top w:w="57" w:type="dxa"/>
              <w:left w:w="113" w:type="dxa"/>
              <w:bottom w:w="57" w:type="dxa"/>
              <w:right w:w="113" w:type="dxa"/>
            </w:tcMar>
            <w:vAlign w:val="center"/>
          </w:tcPr>
          <w:p w:rsidRPr="00A732C7" w:rsidR="00F73E49" w:rsidP="0098009D" w:rsidRDefault="00F73E49" w14:paraId="0580461D" w14:textId="77777777">
            <w:pPr>
              <w:spacing w:after="120"/>
              <w:jc w:val="right"/>
              <w:rPr>
                <w:rFonts w:eastAsia="Times New Roman"/>
              </w:rPr>
            </w:pPr>
            <w:r>
              <w:rPr>
                <w:rFonts w:eastAsia="Times New Roman"/>
              </w:rPr>
              <w:t>9</w:t>
            </w:r>
            <w:r w:rsidRPr="004001D2">
              <w:rPr>
                <w:rFonts w:eastAsia="Times New Roman"/>
                <w:vertAlign w:val="superscript"/>
              </w:rPr>
              <w:t>th</w:t>
            </w:r>
            <w:r>
              <w:rPr>
                <w:rFonts w:eastAsia="Times New Roman"/>
              </w:rPr>
              <w:t xml:space="preserve"> Jul 2021</w:t>
            </w:r>
          </w:p>
        </w:tc>
      </w:tr>
      <w:tr w:rsidRPr="00A732C7" w:rsidR="00781BF3" w:rsidTr="009A6C69" w14:paraId="130A7452" w14:textId="77777777">
        <w:trPr>
          <w:trHeight w:val="192"/>
        </w:trPr>
        <w:tc>
          <w:tcPr>
            <w:tcW w:w="0" w:type="auto"/>
            <w:tcBorders>
              <w:top w:val="single" w:color="EEECE1" w:themeColor="background2" w:sz="8" w:space="0"/>
              <w:left w:val="single" w:color="FFFFFF" w:sz="8" w:space="0"/>
              <w:bottom w:val="single" w:color="EEECE1" w:themeColor="background2" w:sz="8" w:space="0"/>
              <w:right w:val="single" w:color="EEECE1" w:themeColor="background2" w:sz="8" w:space="0"/>
            </w:tcBorders>
            <w:shd w:val="clear" w:color="auto" w:fill="auto"/>
            <w:tcMar>
              <w:top w:w="57" w:type="dxa"/>
              <w:left w:w="113" w:type="dxa"/>
              <w:bottom w:w="57" w:type="dxa"/>
              <w:right w:w="113" w:type="dxa"/>
            </w:tcMar>
            <w:vAlign w:val="center"/>
          </w:tcPr>
          <w:p w:rsidRPr="005943A5" w:rsidR="00781BF3" w:rsidP="009A6C69" w:rsidRDefault="00781BF3" w14:paraId="33023E2C" w14:textId="5CB48A02">
            <w:pPr>
              <w:spacing w:after="120"/>
              <w:jc w:val="center"/>
              <w:rPr>
                <w:rFonts w:eastAsia="Times New Roman"/>
                <w:b/>
                <w:bCs/>
              </w:rPr>
            </w:pPr>
            <w:r>
              <w:rPr>
                <w:rFonts w:eastAsia="Times New Roman"/>
                <w:b/>
                <w:bCs/>
              </w:rPr>
              <w:t>7</w:t>
            </w:r>
          </w:p>
        </w:tc>
        <w:tc>
          <w:tcPr>
            <w:tcW w:w="6092" w:type="dxa"/>
            <w:tcBorders>
              <w:top w:val="single" w:color="EEECE1" w:themeColor="background2" w:sz="8" w:space="0"/>
              <w:left w:val="single" w:color="EEECE1" w:themeColor="background2" w:sz="8" w:space="0"/>
              <w:bottom w:val="single" w:color="EEECE1" w:themeColor="background2" w:sz="8" w:space="0"/>
              <w:right w:val="single" w:color="EEECE1" w:themeColor="background2" w:sz="8" w:space="0"/>
            </w:tcBorders>
            <w:shd w:val="clear" w:color="auto" w:fill="auto"/>
            <w:tcMar>
              <w:top w:w="57" w:type="dxa"/>
              <w:left w:w="113" w:type="dxa"/>
              <w:bottom w:w="57" w:type="dxa"/>
              <w:right w:w="113" w:type="dxa"/>
            </w:tcMar>
            <w:vAlign w:val="center"/>
          </w:tcPr>
          <w:p w:rsidR="00781BF3" w:rsidP="0098009D" w:rsidRDefault="00781BF3" w14:paraId="7817FAD1" w14:textId="6F6B5CFA">
            <w:pPr>
              <w:spacing w:after="120"/>
              <w:rPr>
                <w:rFonts w:eastAsia="Times New Roman"/>
              </w:rPr>
            </w:pPr>
            <w:r>
              <w:rPr>
                <w:rFonts w:eastAsia="Times New Roman"/>
              </w:rPr>
              <w:t>Responses to the 2</w:t>
            </w:r>
            <w:r w:rsidRPr="000C5A17">
              <w:rPr>
                <w:rFonts w:eastAsia="Times New Roman"/>
                <w:vertAlign w:val="superscript"/>
              </w:rPr>
              <w:t>nd</w:t>
            </w:r>
            <w:r>
              <w:rPr>
                <w:rFonts w:eastAsia="Times New Roman"/>
              </w:rPr>
              <w:t xml:space="preserve"> UPI Fee Model Consultation published</w:t>
            </w:r>
          </w:p>
        </w:tc>
        <w:tc>
          <w:tcPr>
            <w:tcW w:w="0" w:type="auto"/>
            <w:tcBorders>
              <w:top w:val="single" w:color="EEECE1" w:themeColor="background2" w:sz="8" w:space="0"/>
              <w:left w:val="single" w:color="EEECE1" w:themeColor="background2" w:sz="8" w:space="0"/>
              <w:bottom w:val="single" w:color="EEECE1" w:themeColor="background2" w:sz="8" w:space="0"/>
              <w:right w:val="single" w:color="FFFFFF" w:sz="8" w:space="0"/>
            </w:tcBorders>
            <w:shd w:val="clear" w:color="auto" w:fill="auto"/>
            <w:tcMar>
              <w:top w:w="57" w:type="dxa"/>
              <w:left w:w="113" w:type="dxa"/>
              <w:bottom w:w="57" w:type="dxa"/>
              <w:right w:w="113" w:type="dxa"/>
            </w:tcMar>
            <w:vAlign w:val="center"/>
          </w:tcPr>
          <w:p w:rsidRPr="00A732C7" w:rsidR="00781BF3" w:rsidP="0098009D" w:rsidRDefault="00781BF3" w14:paraId="4AFE2627" w14:textId="799D98BE">
            <w:pPr>
              <w:spacing w:after="120"/>
              <w:jc w:val="right"/>
              <w:rPr>
                <w:rFonts w:eastAsia="Times New Roman"/>
              </w:rPr>
            </w:pPr>
            <w:r>
              <w:rPr>
                <w:rFonts w:eastAsia="Times New Roman"/>
              </w:rPr>
              <w:t>By 30</w:t>
            </w:r>
            <w:r w:rsidRPr="000C5A17">
              <w:rPr>
                <w:rFonts w:eastAsia="Times New Roman"/>
                <w:vertAlign w:val="superscript"/>
              </w:rPr>
              <w:t>th</w:t>
            </w:r>
            <w:r>
              <w:rPr>
                <w:rFonts w:eastAsia="Times New Roman"/>
              </w:rPr>
              <w:t xml:space="preserve"> July 2021</w:t>
            </w:r>
          </w:p>
        </w:tc>
      </w:tr>
      <w:tr w:rsidRPr="00A732C7" w:rsidR="0098009D" w:rsidTr="009A6C69" w14:paraId="6B30A186" w14:textId="77777777">
        <w:trPr>
          <w:trHeight w:val="192"/>
        </w:trPr>
        <w:tc>
          <w:tcPr>
            <w:tcW w:w="561" w:type="dxa"/>
            <w:tcBorders>
              <w:top w:val="single" w:color="EEECE1" w:themeColor="background2" w:sz="8" w:space="0"/>
              <w:left w:val="single" w:color="FFFFFF" w:sz="8" w:space="0"/>
              <w:bottom w:val="single" w:color="EEECE1" w:themeColor="background2" w:sz="8" w:space="0"/>
              <w:right w:val="single" w:color="EEECE1" w:themeColor="background2" w:sz="8" w:space="0"/>
            </w:tcBorders>
            <w:shd w:val="clear" w:color="auto" w:fill="CBEEF1"/>
            <w:tcMar>
              <w:top w:w="57" w:type="dxa"/>
              <w:left w:w="113" w:type="dxa"/>
              <w:bottom w:w="57" w:type="dxa"/>
              <w:right w:w="113" w:type="dxa"/>
            </w:tcMar>
            <w:vAlign w:val="center"/>
            <w:hideMark/>
          </w:tcPr>
          <w:p w:rsidRPr="005943A5" w:rsidR="00F73E49" w:rsidP="009A6C69" w:rsidRDefault="00781BF3" w14:paraId="358B8C5C" w14:textId="5B5EDF6C">
            <w:pPr>
              <w:spacing w:after="120"/>
              <w:jc w:val="center"/>
              <w:rPr>
                <w:rFonts w:eastAsia="Times New Roman"/>
                <w:b/>
                <w:bCs/>
              </w:rPr>
            </w:pPr>
            <w:r>
              <w:rPr>
                <w:rFonts w:eastAsia="Times New Roman"/>
                <w:b/>
                <w:bCs/>
              </w:rPr>
              <w:t>8</w:t>
            </w:r>
          </w:p>
        </w:tc>
        <w:tc>
          <w:tcPr>
            <w:tcW w:w="6092" w:type="dxa"/>
            <w:tcBorders>
              <w:top w:val="single" w:color="EEECE1" w:themeColor="background2" w:sz="8" w:space="0"/>
              <w:left w:val="single" w:color="EEECE1" w:themeColor="background2" w:sz="8" w:space="0"/>
              <w:bottom w:val="single" w:color="EEECE1" w:themeColor="background2" w:sz="8" w:space="0"/>
              <w:right w:val="single" w:color="EEECE1" w:themeColor="background2" w:sz="8" w:space="0"/>
            </w:tcBorders>
            <w:shd w:val="clear" w:color="auto" w:fill="CBEEF1"/>
            <w:tcMar>
              <w:top w:w="57" w:type="dxa"/>
              <w:left w:w="113" w:type="dxa"/>
              <w:bottom w:w="57" w:type="dxa"/>
              <w:right w:w="113" w:type="dxa"/>
            </w:tcMar>
            <w:vAlign w:val="center"/>
            <w:hideMark/>
          </w:tcPr>
          <w:p w:rsidRPr="00A732C7" w:rsidR="00F73E49" w:rsidP="0098009D" w:rsidRDefault="00F73E49" w14:paraId="45947C7D" w14:textId="10D669F5">
            <w:pPr>
              <w:spacing w:after="120"/>
              <w:rPr>
                <w:rFonts w:eastAsia="Times New Roman"/>
              </w:rPr>
            </w:pPr>
            <w:r>
              <w:rPr>
                <w:rFonts w:eastAsia="Times New Roman"/>
              </w:rPr>
              <w:t>UPI F</w:t>
            </w:r>
            <w:r w:rsidRPr="00A732C7">
              <w:rPr>
                <w:rFonts w:eastAsia="Times New Roman"/>
              </w:rPr>
              <w:t xml:space="preserve">ee Model Consultation </w:t>
            </w:r>
            <w:r w:rsidR="007B2E66">
              <w:rPr>
                <w:rFonts w:eastAsia="Times New Roman"/>
              </w:rPr>
              <w:t xml:space="preserve">Final </w:t>
            </w:r>
            <w:r>
              <w:rPr>
                <w:rFonts w:eastAsia="Times New Roman"/>
              </w:rPr>
              <w:t xml:space="preserve">Report </w:t>
            </w:r>
            <w:r w:rsidRPr="00A732C7">
              <w:rPr>
                <w:rFonts w:eastAsia="Times New Roman"/>
              </w:rPr>
              <w:t>published</w:t>
            </w:r>
          </w:p>
        </w:tc>
        <w:tc>
          <w:tcPr>
            <w:tcW w:w="0" w:type="auto"/>
            <w:tcBorders>
              <w:top w:val="single" w:color="EEECE1" w:themeColor="background2" w:sz="8" w:space="0"/>
              <w:left w:val="single" w:color="EEECE1" w:themeColor="background2" w:sz="8" w:space="0"/>
              <w:bottom w:val="single" w:color="EEECE1" w:themeColor="background2" w:sz="8" w:space="0"/>
              <w:right w:val="single" w:color="FFFFFF" w:sz="8" w:space="0"/>
            </w:tcBorders>
            <w:shd w:val="clear" w:color="auto" w:fill="CBEEF1"/>
            <w:tcMar>
              <w:top w:w="57" w:type="dxa"/>
              <w:left w:w="113" w:type="dxa"/>
              <w:bottom w:w="57" w:type="dxa"/>
              <w:right w:w="113" w:type="dxa"/>
            </w:tcMar>
            <w:vAlign w:val="center"/>
            <w:hideMark/>
          </w:tcPr>
          <w:p w:rsidRPr="00A732C7" w:rsidR="00F73E49" w:rsidP="0098009D" w:rsidRDefault="00F73E49" w14:paraId="6C78A3CB" w14:textId="77777777">
            <w:pPr>
              <w:spacing w:after="120"/>
              <w:jc w:val="right"/>
              <w:rPr>
                <w:rFonts w:eastAsia="Times New Roman"/>
              </w:rPr>
            </w:pPr>
            <w:r w:rsidRPr="00A732C7">
              <w:rPr>
                <w:rFonts w:eastAsia="Times New Roman"/>
              </w:rPr>
              <w:t>27</w:t>
            </w:r>
            <w:r w:rsidRPr="00C85102">
              <w:rPr>
                <w:rFonts w:eastAsia="Times New Roman"/>
                <w:vertAlign w:val="superscript"/>
              </w:rPr>
              <w:t>th</w:t>
            </w:r>
            <w:r>
              <w:rPr>
                <w:rFonts w:eastAsia="Times New Roman"/>
              </w:rPr>
              <w:t xml:space="preserve"> Sep </w:t>
            </w:r>
            <w:r w:rsidRPr="00A732C7">
              <w:rPr>
                <w:rFonts w:eastAsia="Times New Roman"/>
              </w:rPr>
              <w:t>2021</w:t>
            </w:r>
          </w:p>
        </w:tc>
      </w:tr>
      <w:tr w:rsidRPr="00A732C7" w:rsidR="00F73E49" w:rsidTr="009A6C69" w14:paraId="44CF89F7" w14:textId="77777777">
        <w:trPr>
          <w:trHeight w:val="192"/>
        </w:trPr>
        <w:tc>
          <w:tcPr>
            <w:tcW w:w="561" w:type="dxa"/>
            <w:tcBorders>
              <w:top w:val="single" w:color="EEECE1" w:themeColor="background2" w:sz="8" w:space="0"/>
              <w:left w:val="single" w:color="FFFFFF" w:sz="8" w:space="0"/>
              <w:bottom w:val="single" w:color="EEECE1" w:themeColor="background2" w:sz="8" w:space="0"/>
              <w:right w:val="single" w:color="EEECE1" w:themeColor="background2" w:sz="8" w:space="0"/>
            </w:tcBorders>
            <w:shd w:val="clear" w:color="auto" w:fill="auto"/>
            <w:tcMar>
              <w:top w:w="57" w:type="dxa"/>
              <w:left w:w="113" w:type="dxa"/>
              <w:bottom w:w="57" w:type="dxa"/>
              <w:right w:w="113" w:type="dxa"/>
            </w:tcMar>
            <w:vAlign w:val="center"/>
          </w:tcPr>
          <w:p w:rsidRPr="005943A5" w:rsidR="00F73E49" w:rsidP="009A6C69" w:rsidRDefault="00781BF3" w14:paraId="43B17868" w14:textId="61AE2014">
            <w:pPr>
              <w:spacing w:after="120"/>
              <w:jc w:val="center"/>
              <w:rPr>
                <w:rFonts w:eastAsia="Times New Roman"/>
                <w:b/>
                <w:bCs/>
              </w:rPr>
            </w:pPr>
            <w:r>
              <w:rPr>
                <w:rFonts w:eastAsia="Times New Roman"/>
                <w:b/>
                <w:bCs/>
              </w:rPr>
              <w:t>9</w:t>
            </w:r>
          </w:p>
        </w:tc>
        <w:tc>
          <w:tcPr>
            <w:tcW w:w="6092" w:type="dxa"/>
            <w:tcBorders>
              <w:top w:val="single" w:color="EEECE1" w:themeColor="background2" w:sz="8" w:space="0"/>
              <w:left w:val="single" w:color="EEECE1" w:themeColor="background2" w:sz="8" w:space="0"/>
              <w:bottom w:val="single" w:color="EEECE1" w:themeColor="background2" w:sz="8" w:space="0"/>
              <w:right w:val="single" w:color="EEECE1" w:themeColor="background2" w:sz="8" w:space="0"/>
            </w:tcBorders>
            <w:shd w:val="clear" w:color="auto" w:fill="auto"/>
            <w:tcMar>
              <w:top w:w="57" w:type="dxa"/>
              <w:left w:w="113" w:type="dxa"/>
              <w:bottom w:w="57" w:type="dxa"/>
              <w:right w:w="113" w:type="dxa"/>
            </w:tcMar>
            <w:vAlign w:val="center"/>
          </w:tcPr>
          <w:p w:rsidRPr="00A732C7" w:rsidR="00F73E49" w:rsidP="0098009D" w:rsidRDefault="00F73E49" w14:paraId="0A6508D3" w14:textId="77777777">
            <w:pPr>
              <w:spacing w:after="120"/>
              <w:rPr>
                <w:rFonts w:eastAsia="Times New Roman"/>
              </w:rPr>
            </w:pPr>
            <w:r>
              <w:rPr>
                <w:rFonts w:eastAsia="Times New Roman"/>
              </w:rPr>
              <w:t xml:space="preserve">UPI </w:t>
            </w:r>
            <w:r w:rsidRPr="00A732C7">
              <w:rPr>
                <w:rFonts w:eastAsia="Times New Roman"/>
              </w:rPr>
              <w:t xml:space="preserve">Product Templates finalised </w:t>
            </w:r>
            <w:r>
              <w:rPr>
                <w:rFonts w:eastAsia="Times New Roman"/>
              </w:rPr>
              <w:t>and published (provisional date)</w:t>
            </w:r>
          </w:p>
        </w:tc>
        <w:tc>
          <w:tcPr>
            <w:tcW w:w="0" w:type="auto"/>
            <w:tcBorders>
              <w:top w:val="single" w:color="EEECE1" w:themeColor="background2" w:sz="8" w:space="0"/>
              <w:left w:val="single" w:color="EEECE1" w:themeColor="background2" w:sz="8" w:space="0"/>
              <w:bottom w:val="single" w:color="EEECE1" w:themeColor="background2" w:sz="8" w:space="0"/>
              <w:right w:val="single" w:color="FFFFFF" w:sz="8" w:space="0"/>
            </w:tcBorders>
            <w:shd w:val="clear" w:color="auto" w:fill="auto"/>
            <w:tcMar>
              <w:top w:w="57" w:type="dxa"/>
              <w:left w:w="113" w:type="dxa"/>
              <w:bottom w:w="57" w:type="dxa"/>
              <w:right w:w="113" w:type="dxa"/>
            </w:tcMar>
            <w:vAlign w:val="center"/>
          </w:tcPr>
          <w:p w:rsidRPr="00A732C7" w:rsidR="00F73E49" w:rsidP="0098009D" w:rsidRDefault="00F73E49" w14:paraId="61102E5D" w14:textId="77777777">
            <w:pPr>
              <w:spacing w:after="120"/>
              <w:jc w:val="right"/>
              <w:rPr>
                <w:rFonts w:eastAsia="Times New Roman"/>
              </w:rPr>
            </w:pPr>
            <w:r w:rsidRPr="00A732C7">
              <w:rPr>
                <w:rFonts w:eastAsia="Times New Roman"/>
              </w:rPr>
              <w:t>30</w:t>
            </w:r>
            <w:r w:rsidRPr="00C85102">
              <w:rPr>
                <w:rFonts w:eastAsia="Times New Roman"/>
                <w:vertAlign w:val="superscript"/>
              </w:rPr>
              <w:t>th</w:t>
            </w:r>
            <w:r>
              <w:rPr>
                <w:rFonts w:eastAsia="Times New Roman"/>
              </w:rPr>
              <w:t xml:space="preserve"> Nov </w:t>
            </w:r>
            <w:r w:rsidRPr="00A732C7">
              <w:rPr>
                <w:rFonts w:eastAsia="Times New Roman"/>
              </w:rPr>
              <w:t>2021</w:t>
            </w:r>
          </w:p>
        </w:tc>
      </w:tr>
      <w:tr w:rsidRPr="00A732C7" w:rsidR="0098009D" w:rsidTr="009A6C69" w14:paraId="20C8F93F" w14:textId="77777777">
        <w:trPr>
          <w:trHeight w:val="192"/>
        </w:trPr>
        <w:tc>
          <w:tcPr>
            <w:tcW w:w="561" w:type="dxa"/>
            <w:tcBorders>
              <w:top w:val="single" w:color="EEECE1" w:themeColor="background2" w:sz="8" w:space="0"/>
              <w:left w:val="single" w:color="FFFFFF" w:sz="8" w:space="0"/>
              <w:bottom w:val="single" w:color="EEECE1" w:themeColor="background2" w:sz="8" w:space="0"/>
              <w:right w:val="single" w:color="EEECE1" w:themeColor="background2" w:sz="8" w:space="0"/>
            </w:tcBorders>
            <w:shd w:val="clear" w:color="auto" w:fill="CBEEF1"/>
            <w:tcMar>
              <w:top w:w="57" w:type="dxa"/>
              <w:left w:w="113" w:type="dxa"/>
              <w:bottom w:w="57" w:type="dxa"/>
              <w:right w:w="113" w:type="dxa"/>
            </w:tcMar>
            <w:vAlign w:val="center"/>
            <w:hideMark/>
          </w:tcPr>
          <w:p w:rsidRPr="005943A5" w:rsidR="00F73E49" w:rsidP="009A6C69" w:rsidRDefault="00781BF3" w14:paraId="68EC9CF3" w14:textId="7011840B">
            <w:pPr>
              <w:spacing w:after="120"/>
              <w:jc w:val="center"/>
              <w:rPr>
                <w:rFonts w:eastAsia="Times New Roman"/>
                <w:b/>
                <w:bCs/>
              </w:rPr>
            </w:pPr>
            <w:r>
              <w:rPr>
                <w:rFonts w:eastAsia="Times New Roman"/>
                <w:b/>
                <w:bCs/>
              </w:rPr>
              <w:t>10</w:t>
            </w:r>
          </w:p>
        </w:tc>
        <w:tc>
          <w:tcPr>
            <w:tcW w:w="6092" w:type="dxa"/>
            <w:tcBorders>
              <w:top w:val="single" w:color="EEECE1" w:themeColor="background2" w:sz="8" w:space="0"/>
              <w:left w:val="single" w:color="EEECE1" w:themeColor="background2" w:sz="8" w:space="0"/>
              <w:bottom w:val="single" w:color="EEECE1" w:themeColor="background2" w:sz="8" w:space="0"/>
              <w:right w:val="single" w:color="EEECE1" w:themeColor="background2" w:sz="8" w:space="0"/>
            </w:tcBorders>
            <w:shd w:val="clear" w:color="auto" w:fill="CBEEF1"/>
            <w:tcMar>
              <w:top w:w="57" w:type="dxa"/>
              <w:left w:w="113" w:type="dxa"/>
              <w:bottom w:w="57" w:type="dxa"/>
              <w:right w:w="113" w:type="dxa"/>
            </w:tcMar>
            <w:vAlign w:val="center"/>
            <w:hideMark/>
          </w:tcPr>
          <w:p w:rsidRPr="00A732C7" w:rsidR="00F73E49" w:rsidP="0098009D" w:rsidRDefault="00F73E49" w14:paraId="584DF669" w14:textId="77777777">
            <w:pPr>
              <w:spacing w:after="120"/>
              <w:rPr>
                <w:rFonts w:eastAsia="Times New Roman"/>
              </w:rPr>
            </w:pPr>
            <w:r>
              <w:rPr>
                <w:rFonts w:eastAsia="Times New Roman"/>
              </w:rPr>
              <w:t xml:space="preserve">UPI </w:t>
            </w:r>
            <w:r w:rsidRPr="00A732C7">
              <w:rPr>
                <w:rFonts w:eastAsia="Times New Roman"/>
              </w:rPr>
              <w:t xml:space="preserve">Legal </w:t>
            </w:r>
            <w:r>
              <w:rPr>
                <w:rFonts w:eastAsia="Times New Roman"/>
              </w:rPr>
              <w:t xml:space="preserve">Terms and Conditions </w:t>
            </w:r>
            <w:r w:rsidRPr="00A732C7">
              <w:rPr>
                <w:rFonts w:eastAsia="Times New Roman"/>
              </w:rPr>
              <w:t>Consultation (dates to be confirmed)</w:t>
            </w:r>
          </w:p>
        </w:tc>
        <w:tc>
          <w:tcPr>
            <w:tcW w:w="0" w:type="auto"/>
            <w:tcBorders>
              <w:top w:val="single" w:color="EEECE1" w:themeColor="background2" w:sz="8" w:space="0"/>
              <w:left w:val="single" w:color="EEECE1" w:themeColor="background2" w:sz="8" w:space="0"/>
              <w:bottom w:val="single" w:color="EEECE1" w:themeColor="background2" w:sz="8" w:space="0"/>
              <w:right w:val="single" w:color="FFFFFF" w:sz="8" w:space="0"/>
            </w:tcBorders>
            <w:shd w:val="clear" w:color="auto" w:fill="CBEEF1"/>
            <w:tcMar>
              <w:top w:w="57" w:type="dxa"/>
              <w:left w:w="113" w:type="dxa"/>
              <w:bottom w:w="57" w:type="dxa"/>
              <w:right w:w="113" w:type="dxa"/>
            </w:tcMar>
            <w:vAlign w:val="center"/>
            <w:hideMark/>
          </w:tcPr>
          <w:p w:rsidRPr="00A732C7" w:rsidR="00F73E49" w:rsidP="0098009D" w:rsidRDefault="00F73E49" w14:paraId="41F2F5B5" w14:textId="77777777">
            <w:pPr>
              <w:spacing w:after="120"/>
              <w:jc w:val="right"/>
              <w:rPr>
                <w:rFonts w:eastAsia="Times New Roman"/>
              </w:rPr>
            </w:pPr>
            <w:r w:rsidRPr="00A732C7">
              <w:rPr>
                <w:rFonts w:eastAsia="Times New Roman"/>
              </w:rPr>
              <w:t>Q4 2021</w:t>
            </w:r>
          </w:p>
        </w:tc>
      </w:tr>
      <w:tr w:rsidRPr="00A732C7" w:rsidR="00F73E49" w:rsidTr="009A6C69" w14:paraId="28ECE827" w14:textId="77777777">
        <w:trPr>
          <w:trHeight w:val="192"/>
        </w:trPr>
        <w:tc>
          <w:tcPr>
            <w:tcW w:w="561" w:type="dxa"/>
            <w:tcBorders>
              <w:top w:val="single" w:color="EEECE1" w:themeColor="background2" w:sz="8" w:space="0"/>
              <w:left w:val="single" w:color="FFFFFF" w:sz="8" w:space="0"/>
              <w:bottom w:val="single" w:color="EEECE1" w:themeColor="background2" w:sz="8" w:space="0"/>
              <w:right w:val="single" w:color="EEECE1" w:themeColor="background2" w:sz="8" w:space="0"/>
            </w:tcBorders>
            <w:shd w:val="clear" w:color="auto" w:fill="auto"/>
            <w:tcMar>
              <w:top w:w="57" w:type="dxa"/>
              <w:left w:w="113" w:type="dxa"/>
              <w:bottom w:w="57" w:type="dxa"/>
              <w:right w:w="113" w:type="dxa"/>
            </w:tcMar>
            <w:vAlign w:val="center"/>
            <w:hideMark/>
          </w:tcPr>
          <w:p w:rsidRPr="005943A5" w:rsidR="00F73E49" w:rsidP="009A6C69" w:rsidRDefault="00F73E49" w14:paraId="590EAD38" w14:textId="6B037F99">
            <w:pPr>
              <w:spacing w:after="120"/>
              <w:jc w:val="center"/>
              <w:rPr>
                <w:rFonts w:eastAsia="Times New Roman"/>
                <w:b/>
                <w:bCs/>
              </w:rPr>
            </w:pPr>
            <w:r>
              <w:rPr>
                <w:rFonts w:eastAsia="Times New Roman"/>
                <w:b/>
                <w:bCs/>
              </w:rPr>
              <w:t>1</w:t>
            </w:r>
            <w:r w:rsidR="00781BF3">
              <w:rPr>
                <w:rFonts w:eastAsia="Times New Roman"/>
                <w:b/>
                <w:bCs/>
              </w:rPr>
              <w:t>1</w:t>
            </w:r>
          </w:p>
        </w:tc>
        <w:tc>
          <w:tcPr>
            <w:tcW w:w="6092" w:type="dxa"/>
            <w:tcBorders>
              <w:top w:val="single" w:color="EEECE1" w:themeColor="background2" w:sz="8" w:space="0"/>
              <w:left w:val="single" w:color="EEECE1" w:themeColor="background2" w:sz="8" w:space="0"/>
              <w:bottom w:val="single" w:color="EEECE1" w:themeColor="background2" w:sz="8" w:space="0"/>
              <w:right w:val="single" w:color="EEECE1" w:themeColor="background2" w:sz="8" w:space="0"/>
            </w:tcBorders>
            <w:shd w:val="clear" w:color="auto" w:fill="auto"/>
            <w:tcMar>
              <w:top w:w="57" w:type="dxa"/>
              <w:left w:w="113" w:type="dxa"/>
              <w:bottom w:w="57" w:type="dxa"/>
              <w:right w:w="113" w:type="dxa"/>
            </w:tcMar>
            <w:vAlign w:val="center"/>
            <w:hideMark/>
          </w:tcPr>
          <w:p w:rsidRPr="00A732C7" w:rsidR="00F73E49" w:rsidP="0098009D" w:rsidRDefault="00F73E49" w14:paraId="23181430" w14:textId="77777777">
            <w:pPr>
              <w:spacing w:after="120"/>
              <w:rPr>
                <w:rFonts w:eastAsia="Times New Roman"/>
              </w:rPr>
            </w:pPr>
            <w:r w:rsidRPr="00A732C7">
              <w:rPr>
                <w:rFonts w:eastAsia="Times New Roman"/>
              </w:rPr>
              <w:t>Legal Consultation Conclusions published (date to be confirmed)</w:t>
            </w:r>
          </w:p>
        </w:tc>
        <w:tc>
          <w:tcPr>
            <w:tcW w:w="0" w:type="auto"/>
            <w:tcBorders>
              <w:top w:val="single" w:color="EEECE1" w:themeColor="background2" w:sz="8" w:space="0"/>
              <w:left w:val="single" w:color="EEECE1" w:themeColor="background2" w:sz="8" w:space="0"/>
              <w:bottom w:val="single" w:color="EEECE1" w:themeColor="background2" w:sz="8" w:space="0"/>
              <w:right w:val="single" w:color="FFFFFF" w:sz="8" w:space="0"/>
            </w:tcBorders>
            <w:shd w:val="clear" w:color="auto" w:fill="auto"/>
            <w:tcMar>
              <w:top w:w="57" w:type="dxa"/>
              <w:left w:w="113" w:type="dxa"/>
              <w:bottom w:w="57" w:type="dxa"/>
              <w:right w:w="113" w:type="dxa"/>
            </w:tcMar>
            <w:vAlign w:val="center"/>
            <w:hideMark/>
          </w:tcPr>
          <w:p w:rsidRPr="00A732C7" w:rsidR="00F73E49" w:rsidP="0098009D" w:rsidRDefault="00F73E49" w14:paraId="6DCB3CEB" w14:textId="77777777">
            <w:pPr>
              <w:spacing w:after="120"/>
              <w:jc w:val="right"/>
              <w:rPr>
                <w:rFonts w:eastAsia="Times New Roman"/>
              </w:rPr>
            </w:pPr>
            <w:r w:rsidRPr="00A732C7">
              <w:rPr>
                <w:rFonts w:eastAsia="Times New Roman"/>
              </w:rPr>
              <w:t>Q1 2022</w:t>
            </w:r>
          </w:p>
        </w:tc>
      </w:tr>
      <w:tr w:rsidRPr="00A732C7" w:rsidR="0098009D" w:rsidTr="009A6C69" w14:paraId="737CC5DB" w14:textId="77777777">
        <w:trPr>
          <w:trHeight w:val="192"/>
        </w:trPr>
        <w:tc>
          <w:tcPr>
            <w:tcW w:w="561" w:type="dxa"/>
            <w:tcBorders>
              <w:top w:val="single" w:color="EEECE1" w:themeColor="background2" w:sz="8" w:space="0"/>
              <w:left w:val="single" w:color="FFFFFF" w:sz="8" w:space="0"/>
              <w:bottom w:val="single" w:color="EEECE1" w:themeColor="background2" w:sz="8" w:space="0"/>
              <w:right w:val="single" w:color="EEECE1" w:themeColor="background2" w:sz="8" w:space="0"/>
            </w:tcBorders>
            <w:shd w:val="clear" w:color="auto" w:fill="CBEEF1"/>
            <w:tcMar>
              <w:top w:w="57" w:type="dxa"/>
              <w:left w:w="113" w:type="dxa"/>
              <w:bottom w:w="57" w:type="dxa"/>
              <w:right w:w="113" w:type="dxa"/>
            </w:tcMar>
            <w:vAlign w:val="center"/>
            <w:hideMark/>
          </w:tcPr>
          <w:p w:rsidRPr="005943A5" w:rsidR="00F73E49" w:rsidP="009A6C69" w:rsidRDefault="00F73E49" w14:paraId="2392DF7C" w14:textId="0042F61D">
            <w:pPr>
              <w:spacing w:after="120"/>
              <w:jc w:val="center"/>
              <w:rPr>
                <w:rFonts w:eastAsia="Times New Roman"/>
                <w:b/>
                <w:bCs/>
              </w:rPr>
            </w:pPr>
            <w:r w:rsidRPr="005943A5">
              <w:rPr>
                <w:rFonts w:eastAsia="Times New Roman"/>
                <w:b/>
                <w:bCs/>
              </w:rPr>
              <w:t>1</w:t>
            </w:r>
            <w:r w:rsidR="00781BF3">
              <w:rPr>
                <w:rFonts w:eastAsia="Times New Roman"/>
                <w:b/>
                <w:bCs/>
              </w:rPr>
              <w:t>2</w:t>
            </w:r>
          </w:p>
        </w:tc>
        <w:tc>
          <w:tcPr>
            <w:tcW w:w="6092" w:type="dxa"/>
            <w:tcBorders>
              <w:top w:val="single" w:color="EEECE1" w:themeColor="background2" w:sz="8" w:space="0"/>
              <w:left w:val="single" w:color="EEECE1" w:themeColor="background2" w:sz="8" w:space="0"/>
              <w:bottom w:val="single" w:color="EEECE1" w:themeColor="background2" w:sz="8" w:space="0"/>
              <w:right w:val="single" w:color="EEECE1" w:themeColor="background2" w:sz="8" w:space="0"/>
            </w:tcBorders>
            <w:shd w:val="clear" w:color="auto" w:fill="CBEEF1"/>
            <w:tcMar>
              <w:top w:w="57" w:type="dxa"/>
              <w:left w:w="113" w:type="dxa"/>
              <w:bottom w:w="57" w:type="dxa"/>
              <w:right w:w="113" w:type="dxa"/>
            </w:tcMar>
            <w:vAlign w:val="center"/>
            <w:hideMark/>
          </w:tcPr>
          <w:p w:rsidRPr="00A732C7" w:rsidR="00F73E49" w:rsidP="0098009D" w:rsidRDefault="00F73E49" w14:paraId="54945E2E" w14:textId="77777777">
            <w:pPr>
              <w:spacing w:after="120"/>
              <w:rPr>
                <w:rFonts w:eastAsia="Times New Roman"/>
              </w:rPr>
            </w:pPr>
            <w:r>
              <w:rPr>
                <w:rFonts w:eastAsia="Times New Roman"/>
              </w:rPr>
              <w:t xml:space="preserve">Internal DSB Quality Assurance Testing of UPI Platform </w:t>
            </w:r>
            <w:r w:rsidRPr="00A732C7">
              <w:rPr>
                <w:rFonts w:eastAsia="Times New Roman"/>
              </w:rPr>
              <w:t>(date to be confirmed)</w:t>
            </w:r>
          </w:p>
        </w:tc>
        <w:tc>
          <w:tcPr>
            <w:tcW w:w="0" w:type="auto"/>
            <w:tcBorders>
              <w:top w:val="single" w:color="EEECE1" w:themeColor="background2" w:sz="8" w:space="0"/>
              <w:left w:val="single" w:color="EEECE1" w:themeColor="background2" w:sz="8" w:space="0"/>
              <w:bottom w:val="single" w:color="EEECE1" w:themeColor="background2" w:sz="8" w:space="0"/>
              <w:right w:val="single" w:color="FFFFFF" w:sz="8" w:space="0"/>
            </w:tcBorders>
            <w:shd w:val="clear" w:color="auto" w:fill="CBEEF1"/>
            <w:tcMar>
              <w:top w:w="57" w:type="dxa"/>
              <w:left w:w="113" w:type="dxa"/>
              <w:bottom w:w="57" w:type="dxa"/>
              <w:right w:w="113" w:type="dxa"/>
            </w:tcMar>
            <w:vAlign w:val="center"/>
            <w:hideMark/>
          </w:tcPr>
          <w:p w:rsidRPr="00A732C7" w:rsidR="00F73E49" w:rsidP="0098009D" w:rsidRDefault="00F73E49" w14:paraId="5AEDE526" w14:textId="77777777">
            <w:pPr>
              <w:spacing w:after="120"/>
              <w:jc w:val="right"/>
              <w:rPr>
                <w:rFonts w:eastAsia="Times New Roman"/>
              </w:rPr>
            </w:pPr>
            <w:r w:rsidRPr="00A732C7">
              <w:rPr>
                <w:rFonts w:eastAsia="Times New Roman"/>
              </w:rPr>
              <w:t>Q1 2022</w:t>
            </w:r>
          </w:p>
        </w:tc>
      </w:tr>
      <w:tr w:rsidRPr="00A732C7" w:rsidR="00F73E49" w:rsidTr="009A6C69" w14:paraId="15BE98AF" w14:textId="77777777">
        <w:trPr>
          <w:trHeight w:val="192"/>
        </w:trPr>
        <w:tc>
          <w:tcPr>
            <w:tcW w:w="561" w:type="dxa"/>
            <w:tcBorders>
              <w:top w:val="single" w:color="EEECE1" w:themeColor="background2" w:sz="8" w:space="0"/>
              <w:left w:val="single" w:color="FFFFFF" w:sz="8" w:space="0"/>
              <w:bottom w:val="single" w:color="EEECE1" w:themeColor="background2" w:sz="8" w:space="0"/>
              <w:right w:val="single" w:color="EEECE1" w:themeColor="background2" w:sz="8" w:space="0"/>
            </w:tcBorders>
            <w:shd w:val="clear" w:color="auto" w:fill="auto"/>
            <w:tcMar>
              <w:top w:w="57" w:type="dxa"/>
              <w:left w:w="113" w:type="dxa"/>
              <w:bottom w:w="57" w:type="dxa"/>
              <w:right w:w="113" w:type="dxa"/>
            </w:tcMar>
            <w:vAlign w:val="center"/>
            <w:hideMark/>
          </w:tcPr>
          <w:p w:rsidRPr="005943A5" w:rsidR="00F73E49" w:rsidP="009A6C69" w:rsidRDefault="00F73E49" w14:paraId="14BF67B6" w14:textId="23E86ECF">
            <w:pPr>
              <w:spacing w:after="120"/>
              <w:jc w:val="center"/>
              <w:rPr>
                <w:rFonts w:eastAsia="Times New Roman"/>
                <w:b/>
                <w:bCs/>
              </w:rPr>
            </w:pPr>
            <w:r w:rsidRPr="005943A5">
              <w:rPr>
                <w:rFonts w:eastAsia="Times New Roman"/>
                <w:b/>
                <w:bCs/>
              </w:rPr>
              <w:t>1</w:t>
            </w:r>
            <w:r w:rsidR="00781BF3">
              <w:rPr>
                <w:rFonts w:eastAsia="Times New Roman"/>
                <w:b/>
                <w:bCs/>
              </w:rPr>
              <w:t>3</w:t>
            </w:r>
          </w:p>
        </w:tc>
        <w:tc>
          <w:tcPr>
            <w:tcW w:w="6092" w:type="dxa"/>
            <w:tcBorders>
              <w:top w:val="single" w:color="EEECE1" w:themeColor="background2" w:sz="8" w:space="0"/>
              <w:left w:val="single" w:color="EEECE1" w:themeColor="background2" w:sz="8" w:space="0"/>
              <w:bottom w:val="single" w:color="EEECE1" w:themeColor="background2" w:sz="8" w:space="0"/>
              <w:right w:val="single" w:color="EEECE1" w:themeColor="background2" w:sz="8" w:space="0"/>
            </w:tcBorders>
            <w:shd w:val="clear" w:color="auto" w:fill="auto"/>
            <w:tcMar>
              <w:top w:w="57" w:type="dxa"/>
              <w:left w:w="113" w:type="dxa"/>
              <w:bottom w:w="57" w:type="dxa"/>
              <w:right w:w="113" w:type="dxa"/>
            </w:tcMar>
            <w:vAlign w:val="center"/>
            <w:hideMark/>
          </w:tcPr>
          <w:p w:rsidRPr="00A732C7" w:rsidR="00F73E49" w:rsidP="0098009D" w:rsidRDefault="00F73E49" w14:paraId="0DFA5C0E" w14:textId="77777777">
            <w:pPr>
              <w:spacing w:after="120"/>
              <w:rPr>
                <w:rFonts w:eastAsia="Times New Roman"/>
              </w:rPr>
            </w:pPr>
            <w:r>
              <w:rPr>
                <w:rFonts w:eastAsia="Times New Roman"/>
              </w:rPr>
              <w:t xml:space="preserve">UPI User Acceptance and Integration Testing Commences + User on-boarding commences </w:t>
            </w:r>
            <w:r w:rsidRPr="00A732C7">
              <w:rPr>
                <w:rFonts w:eastAsia="Times New Roman"/>
              </w:rPr>
              <w:t>(date to be confirmed)</w:t>
            </w:r>
          </w:p>
        </w:tc>
        <w:tc>
          <w:tcPr>
            <w:tcW w:w="0" w:type="auto"/>
            <w:tcBorders>
              <w:top w:val="single" w:color="EEECE1" w:themeColor="background2" w:sz="8" w:space="0"/>
              <w:left w:val="single" w:color="EEECE1" w:themeColor="background2" w:sz="8" w:space="0"/>
              <w:bottom w:val="single" w:color="EEECE1" w:themeColor="background2" w:sz="8" w:space="0"/>
              <w:right w:val="single" w:color="FFFFFF" w:sz="8" w:space="0"/>
            </w:tcBorders>
            <w:shd w:val="clear" w:color="auto" w:fill="auto"/>
            <w:tcMar>
              <w:top w:w="57" w:type="dxa"/>
              <w:left w:w="113" w:type="dxa"/>
              <w:bottom w:w="57" w:type="dxa"/>
              <w:right w:w="113" w:type="dxa"/>
            </w:tcMar>
            <w:vAlign w:val="center"/>
            <w:hideMark/>
          </w:tcPr>
          <w:p w:rsidRPr="00A732C7" w:rsidR="00F73E49" w:rsidP="0098009D" w:rsidRDefault="00F73E49" w14:paraId="58AA3BA2" w14:textId="77777777">
            <w:pPr>
              <w:spacing w:after="120"/>
              <w:jc w:val="right"/>
              <w:rPr>
                <w:rFonts w:eastAsia="Times New Roman"/>
              </w:rPr>
            </w:pPr>
            <w:r w:rsidRPr="00A732C7">
              <w:rPr>
                <w:rFonts w:eastAsia="Times New Roman"/>
              </w:rPr>
              <w:t>End Q1 2022</w:t>
            </w:r>
          </w:p>
        </w:tc>
      </w:tr>
      <w:tr w:rsidRPr="00A732C7" w:rsidR="0098009D" w:rsidTr="009A6C69" w14:paraId="0EBCC97C" w14:textId="77777777">
        <w:trPr>
          <w:trHeight w:val="192"/>
        </w:trPr>
        <w:tc>
          <w:tcPr>
            <w:tcW w:w="561" w:type="dxa"/>
            <w:tcBorders>
              <w:top w:val="single" w:color="EEECE1" w:themeColor="background2" w:sz="8" w:space="0"/>
              <w:left w:val="single" w:color="FFFFFF" w:sz="8" w:space="0"/>
              <w:bottom w:val="single" w:color="FFFFFF" w:sz="8" w:space="0"/>
              <w:right w:val="single" w:color="EEECE1" w:themeColor="background2" w:sz="8" w:space="0"/>
            </w:tcBorders>
            <w:shd w:val="clear" w:color="auto" w:fill="CBEEF1"/>
            <w:tcMar>
              <w:top w:w="57" w:type="dxa"/>
              <w:left w:w="113" w:type="dxa"/>
              <w:bottom w:w="57" w:type="dxa"/>
              <w:right w:w="113" w:type="dxa"/>
            </w:tcMar>
            <w:vAlign w:val="center"/>
            <w:hideMark/>
          </w:tcPr>
          <w:p w:rsidRPr="005943A5" w:rsidR="00F73E49" w:rsidP="009A6C69" w:rsidRDefault="00F73E49" w14:paraId="4BF43B74" w14:textId="26EFBE7D">
            <w:pPr>
              <w:spacing w:after="120"/>
              <w:jc w:val="center"/>
              <w:rPr>
                <w:rFonts w:eastAsia="Times New Roman"/>
                <w:b/>
                <w:bCs/>
              </w:rPr>
            </w:pPr>
            <w:r w:rsidRPr="005943A5">
              <w:rPr>
                <w:rFonts w:eastAsia="Times New Roman"/>
                <w:b/>
                <w:bCs/>
              </w:rPr>
              <w:t>1</w:t>
            </w:r>
            <w:r w:rsidR="00781BF3">
              <w:rPr>
                <w:rFonts w:eastAsia="Times New Roman"/>
                <w:b/>
                <w:bCs/>
              </w:rPr>
              <w:t>4</w:t>
            </w:r>
          </w:p>
        </w:tc>
        <w:tc>
          <w:tcPr>
            <w:tcW w:w="6092" w:type="dxa"/>
            <w:tcBorders>
              <w:top w:val="single" w:color="EEECE1" w:themeColor="background2" w:sz="8" w:space="0"/>
              <w:left w:val="single" w:color="EEECE1" w:themeColor="background2" w:sz="8" w:space="0"/>
              <w:bottom w:val="single" w:color="FFFFFF" w:sz="8" w:space="0"/>
              <w:right w:val="single" w:color="EEECE1" w:themeColor="background2" w:sz="8" w:space="0"/>
            </w:tcBorders>
            <w:shd w:val="clear" w:color="auto" w:fill="CBEEF1"/>
            <w:tcMar>
              <w:top w:w="57" w:type="dxa"/>
              <w:left w:w="113" w:type="dxa"/>
              <w:bottom w:w="57" w:type="dxa"/>
              <w:right w:w="113" w:type="dxa"/>
            </w:tcMar>
            <w:vAlign w:val="center"/>
            <w:hideMark/>
          </w:tcPr>
          <w:p w:rsidRPr="00E45AFF" w:rsidR="00F73E49" w:rsidP="0098009D" w:rsidRDefault="00F73E49" w14:paraId="7399AEB9" w14:textId="4CCC1947">
            <w:pPr>
              <w:spacing w:after="120"/>
              <w:rPr>
                <w:rFonts w:eastAsia="Times New Roman"/>
              </w:rPr>
            </w:pPr>
            <w:r w:rsidRPr="005943A5">
              <w:rPr>
                <w:rFonts w:eastAsia="Times New Roman"/>
                <w:b/>
                <w:bCs/>
              </w:rPr>
              <w:t xml:space="preserve">UPI Production system available – live UPIs can be created and </w:t>
            </w:r>
            <w:r>
              <w:rPr>
                <w:rFonts w:eastAsia="Times New Roman"/>
                <w:b/>
                <w:bCs/>
              </w:rPr>
              <w:t xml:space="preserve">searched </w:t>
            </w:r>
            <w:r>
              <w:rPr>
                <w:rFonts w:eastAsia="Times New Roman"/>
              </w:rPr>
              <w:t xml:space="preserve">(date </w:t>
            </w:r>
            <w:r w:rsidRPr="00A732C7">
              <w:rPr>
                <w:rFonts w:eastAsia="Times New Roman"/>
              </w:rPr>
              <w:t>to be confirmed</w:t>
            </w:r>
            <w:r>
              <w:rPr>
                <w:rFonts w:eastAsia="Times New Roman"/>
              </w:rPr>
              <w:t>)</w:t>
            </w:r>
          </w:p>
        </w:tc>
        <w:tc>
          <w:tcPr>
            <w:tcW w:w="0" w:type="auto"/>
            <w:tcBorders>
              <w:top w:val="single" w:color="EEECE1" w:themeColor="background2" w:sz="8" w:space="0"/>
              <w:left w:val="single" w:color="EEECE1" w:themeColor="background2" w:sz="8" w:space="0"/>
              <w:bottom w:val="single" w:color="FFFFFF" w:sz="8" w:space="0"/>
              <w:right w:val="single" w:color="FFFFFF" w:sz="8" w:space="0"/>
            </w:tcBorders>
            <w:shd w:val="clear" w:color="auto" w:fill="CBEEF1"/>
            <w:tcMar>
              <w:top w:w="57" w:type="dxa"/>
              <w:left w:w="113" w:type="dxa"/>
              <w:bottom w:w="57" w:type="dxa"/>
              <w:right w:w="113" w:type="dxa"/>
            </w:tcMar>
            <w:vAlign w:val="center"/>
            <w:hideMark/>
          </w:tcPr>
          <w:p w:rsidRPr="005943A5" w:rsidR="00F73E49" w:rsidP="0098009D" w:rsidRDefault="00F73E49" w14:paraId="69D0EA63" w14:textId="77777777">
            <w:pPr>
              <w:spacing w:after="120"/>
              <w:jc w:val="right"/>
              <w:rPr>
                <w:rFonts w:eastAsia="Times New Roman"/>
                <w:b/>
                <w:bCs/>
              </w:rPr>
            </w:pPr>
            <w:r>
              <w:rPr>
                <w:rFonts w:eastAsia="Times New Roman"/>
                <w:b/>
                <w:bCs/>
              </w:rPr>
              <w:t>July</w:t>
            </w:r>
            <w:r w:rsidRPr="005943A5">
              <w:rPr>
                <w:rFonts w:eastAsia="Times New Roman"/>
                <w:b/>
                <w:bCs/>
              </w:rPr>
              <w:t xml:space="preserve"> 2022</w:t>
            </w:r>
          </w:p>
        </w:tc>
      </w:tr>
    </w:tbl>
    <w:p w:rsidR="001D5C59" w:rsidRDefault="001D5C59" w14:paraId="2FC2AFCB" w14:textId="566B879E">
      <w:pPr>
        <w:rPr>
          <w:rFonts w:asciiTheme="majorHAnsi" w:hAnsiTheme="majorHAnsi" w:eastAsiaTheme="majorEastAsia" w:cstheme="majorBidi"/>
          <w:color w:val="30AEB9"/>
          <w:sz w:val="32"/>
          <w:szCs w:val="32"/>
          <w:lang w:val="en-GB"/>
        </w:rPr>
      </w:pPr>
      <w:bookmarkStart w:name="_Toc60651775" w:id="33"/>
      <w:bookmarkStart w:name="_Toc69801993" w:id="34"/>
    </w:p>
    <w:p w:rsidRPr="00314A54" w:rsidR="00F73E49" w:rsidP="00533C79" w:rsidRDefault="00F73E49" w14:paraId="7B8A54A3" w14:textId="4716B263">
      <w:pPr>
        <w:pStyle w:val="Heading1"/>
        <w:spacing w:line="276" w:lineRule="auto"/>
        <w:ind w:hanging="431"/>
        <w:jc w:val="both"/>
        <w:rPr>
          <w:color w:val="30AEB9"/>
        </w:rPr>
      </w:pPr>
      <w:bookmarkStart w:name="_Toc71369586" w:id="35"/>
      <w:r w:rsidRPr="00314A54">
        <w:rPr>
          <w:color w:val="30AEB9"/>
        </w:rPr>
        <w:t>UPI Adoption Expectations</w:t>
      </w:r>
      <w:bookmarkEnd w:id="33"/>
      <w:bookmarkEnd w:id="34"/>
      <w:bookmarkEnd w:id="35"/>
      <w:r w:rsidRPr="00314A54">
        <w:rPr>
          <w:color w:val="30AEB9"/>
        </w:rPr>
        <w:t xml:space="preserve"> </w:t>
      </w:r>
    </w:p>
    <w:p w:rsidR="00F73E49" w:rsidP="000C04DE" w:rsidRDefault="00F73E49" w14:paraId="04DDF312" w14:textId="77777777">
      <w:pPr>
        <w:jc w:val="both"/>
      </w:pPr>
      <w:r>
        <w:t xml:space="preserve">This section serves as a reminder of regulatory adoption expectations, and was also presented in the previous consultation paper. The DSB has revised the data presented in the previous consultation paper to reflect the most current information, as the subject remains of interest to most industry participants. </w:t>
      </w:r>
    </w:p>
    <w:p w:rsidRPr="007D0CB8" w:rsidR="00F73E49" w:rsidP="00FF24E6" w:rsidRDefault="00F73E49" w14:paraId="51C2A4C6" w14:textId="77777777">
      <w:pPr>
        <w:jc w:val="both"/>
      </w:pPr>
      <w:r w:rsidRPr="009F5C43">
        <w:t xml:space="preserve">Regulatory insight from </w:t>
      </w:r>
      <w:r>
        <w:t>thirteen G20 jurisdictions - including those that dominate the capital markets landscape across N</w:t>
      </w:r>
      <w:r w:rsidRPr="007D0CB8">
        <w:t>orth America, Europe, Africa, and Asia</w:t>
      </w:r>
      <w:r>
        <w:t xml:space="preserve"> -</w:t>
      </w:r>
      <w:r w:rsidRPr="009F5C43">
        <w:t xml:space="preserve"> indicates that rules to support UPI reporting are either already in place or expected to be in place </w:t>
      </w:r>
      <w:r>
        <w:t xml:space="preserve">by mid to late </w:t>
      </w:r>
      <w:r w:rsidRPr="009F5C43">
        <w:t>2022, with final adoption</w:t>
      </w:r>
      <w:r w:rsidRPr="007D0CB8">
        <w:t xml:space="preserve"> timelines subject to availability of the UPI service by the DSB, and market consultation. Regulators, in the main, note their expectation that all asset classes will be reportable via a “big bang” approach. </w:t>
      </w:r>
    </w:p>
    <w:p w:rsidRPr="007D0CB8" w:rsidR="00F73E49" w:rsidP="001456B9" w:rsidRDefault="00F73E49" w14:paraId="3338125A" w14:textId="77777777">
      <w:pPr>
        <w:jc w:val="both"/>
      </w:pPr>
      <w:r>
        <w:t xml:space="preserve">Several </w:t>
      </w:r>
      <w:r w:rsidRPr="007D0CB8">
        <w:t>regulators have noted that they intend to consult with the market in terms of the specific timing of implementation</w:t>
      </w:r>
      <w:r>
        <w:t xml:space="preserve">, </w:t>
      </w:r>
      <w:r w:rsidRPr="007D0CB8">
        <w:t xml:space="preserve">as well as whether UPI adoption should be phased by size of the reporting institution, such that larger institutions are in the first phase. In addition, some jurisdictions are in the processes of </w:t>
      </w:r>
      <w:proofErr w:type="spellStart"/>
      <w:r w:rsidRPr="007D0CB8">
        <w:t>finalising</w:t>
      </w:r>
      <w:proofErr w:type="spellEnd"/>
      <w:r w:rsidRPr="007D0CB8">
        <w:t xml:space="preserve"> their trade reporting infrastructure, while others have noted their intention to proceed with introduction of the UPI in a manner that aligns with other regional regulators.  </w:t>
      </w:r>
    </w:p>
    <w:p w:rsidR="00F73E49" w:rsidP="001456B9" w:rsidRDefault="00F73E49" w14:paraId="0924D90C" w14:textId="6E7E21C9">
      <w:pPr>
        <w:jc w:val="both"/>
      </w:pPr>
      <w:r>
        <w:t>R</w:t>
      </w:r>
      <w:r w:rsidRPr="007D0CB8">
        <w:t>eporting timelines</w:t>
      </w:r>
      <w:r>
        <w:t xml:space="preserve"> largely </w:t>
      </w:r>
      <w:r w:rsidRPr="007D0CB8">
        <w:t>converg</w:t>
      </w:r>
      <w:r>
        <w:t xml:space="preserve">e around </w:t>
      </w:r>
      <w:r w:rsidRPr="007D0CB8">
        <w:t xml:space="preserve">T+1 </w:t>
      </w:r>
      <w:r>
        <w:t>expectations</w:t>
      </w:r>
      <w:r w:rsidRPr="007D0CB8">
        <w:t xml:space="preserve">, </w:t>
      </w:r>
      <w:r>
        <w:t xml:space="preserve">with the </w:t>
      </w:r>
      <w:r w:rsidRPr="007D0CB8">
        <w:t xml:space="preserve">spectrum spanning from </w:t>
      </w:r>
      <w:r>
        <w:t xml:space="preserve">as soon as technologically practicable following </w:t>
      </w:r>
      <w:r w:rsidRPr="007D0CB8">
        <w:t>trade execution</w:t>
      </w:r>
      <w:r w:rsidRPr="003F5F8A">
        <w:t xml:space="preserve">, to T+2. In addition, </w:t>
      </w:r>
      <w:r>
        <w:t xml:space="preserve">it is expected that several </w:t>
      </w:r>
      <w:r w:rsidRPr="003F5F8A">
        <w:t xml:space="preserve">jurisdictions </w:t>
      </w:r>
      <w:r>
        <w:t>rely on</w:t>
      </w:r>
      <w:r w:rsidRPr="003F5F8A">
        <w:t xml:space="preserve"> dual-s</w:t>
      </w:r>
      <w:r w:rsidRPr="009F5C43">
        <w:t>ided reporting, such that both parties in the transaction would</w:t>
      </w:r>
      <w:r w:rsidRPr="009F5C43" w:rsidR="00314A54">
        <w:t xml:space="preserve"> </w:t>
      </w:r>
      <w:r>
        <w:t>/may</w:t>
      </w:r>
      <w:r w:rsidR="00E606B3">
        <w:t xml:space="preserve"> </w:t>
      </w:r>
      <w:r w:rsidRPr="009F5C43">
        <w:t>need access to the UPI reference da</w:t>
      </w:r>
      <w:r w:rsidRPr="007D0CB8">
        <w:t>ta record generated by the DSB</w:t>
      </w:r>
      <w:r>
        <w:t xml:space="preserve"> (either directly from the DSB or via a data or technology vendor). </w:t>
      </w:r>
    </w:p>
    <w:p w:rsidR="00F73E49" w:rsidP="001456B9" w:rsidRDefault="00F73E49" w14:paraId="65A7465F" w14:textId="55C5DDA6">
      <w:pPr>
        <w:jc w:val="both"/>
      </w:pPr>
      <w:r>
        <w:t>The DSB is aware that the CFTC, ASIC, and ESMA have each</w:t>
      </w:r>
      <w:r w:rsidR="00997C16">
        <w:t xml:space="preserve"> </w:t>
      </w:r>
      <w:r>
        <w:t xml:space="preserve">publicly consulted on and/or published final rules setting out their expectations regarding the reporting of the UPI, UTI and Critical Data Elements (CDE). Additional regulatory consultations are expected to be published in Q2 2021 and beyond. </w:t>
      </w:r>
    </w:p>
    <w:p w:rsidRPr="0050703F" w:rsidR="00F73E49" w:rsidP="001456B9" w:rsidRDefault="00F73E49" w14:paraId="5D43A05F" w14:textId="77777777">
      <w:pPr>
        <w:jc w:val="both"/>
      </w:pPr>
    </w:p>
    <w:p w:rsidR="00F73E49" w:rsidP="00533C79" w:rsidRDefault="00F73E49" w14:paraId="066C5201" w14:textId="77777777">
      <w:pPr>
        <w:pStyle w:val="Heading1"/>
        <w:spacing w:line="276" w:lineRule="auto"/>
        <w:ind w:hanging="431"/>
        <w:jc w:val="both"/>
        <w:rPr>
          <w:color w:val="30AEB9"/>
        </w:rPr>
      </w:pPr>
      <w:bookmarkStart w:name="_Ref67040095" w:id="36"/>
      <w:bookmarkStart w:name="_Toc69801994" w:id="37"/>
      <w:bookmarkStart w:name="_Toc71369587" w:id="38"/>
      <w:r w:rsidRPr="003B1848">
        <w:rPr>
          <w:color w:val="30AEB9"/>
        </w:rPr>
        <w:t>Consultation Considerations</w:t>
      </w:r>
      <w:bookmarkEnd w:id="26"/>
      <w:bookmarkEnd w:id="27"/>
      <w:bookmarkEnd w:id="28"/>
      <w:bookmarkEnd w:id="29"/>
      <w:bookmarkEnd w:id="36"/>
      <w:bookmarkEnd w:id="37"/>
      <w:bookmarkEnd w:id="38"/>
    </w:p>
    <w:p w:rsidR="00F73E49" w:rsidP="000C04DE" w:rsidRDefault="00F73E49" w14:paraId="04929CA6" w14:textId="77777777">
      <w:pPr>
        <w:spacing w:after="360"/>
        <w:jc w:val="both"/>
      </w:pPr>
      <w:r>
        <w:t xml:space="preserve">Responses should be objective, and where users believe that the DSB’s proposals should be amended and/or augmented, alternate solutions should be proposed, with responses listing specific and actionable alternative solution(s) that would be acceptable to the respondent to ensure that the DSB can work to reflect the best target solution sought by industry and within the governance framework of the utility.   </w:t>
      </w:r>
    </w:p>
    <w:p w:rsidR="00F73E49" w:rsidP="00F73E49" w:rsidRDefault="00185AC3" w14:paraId="07904D32" w14:textId="499C94BB">
      <w:pPr>
        <w:pStyle w:val="Heading2"/>
        <w:spacing w:before="0" w:line="276" w:lineRule="auto"/>
      </w:pPr>
      <w:bookmarkStart w:name="_Toc60651777" w:id="39"/>
      <w:bookmarkStart w:name="_Toc60651778" w:id="40"/>
      <w:bookmarkStart w:name="_Toc60651779" w:id="41"/>
      <w:bookmarkStart w:name="_Toc60651780" w:id="42"/>
      <w:bookmarkStart w:name="_Toc60651781" w:id="43"/>
      <w:bookmarkStart w:name="_Toc60651782" w:id="44"/>
      <w:bookmarkStart w:name="_Toc60651783" w:id="45"/>
      <w:bookmarkStart w:name="_Toc60651784" w:id="46"/>
      <w:bookmarkStart w:name="_Toc60651785" w:id="47"/>
      <w:bookmarkStart w:name="_Toc69801995" w:id="48"/>
      <w:bookmarkStart w:name="_Toc71369588" w:id="49"/>
      <w:bookmarkEnd w:id="30"/>
      <w:bookmarkEnd w:id="39"/>
      <w:bookmarkEnd w:id="40"/>
      <w:bookmarkEnd w:id="41"/>
      <w:bookmarkEnd w:id="42"/>
      <w:bookmarkEnd w:id="43"/>
      <w:bookmarkEnd w:id="44"/>
      <w:bookmarkEnd w:id="45"/>
      <w:bookmarkEnd w:id="46"/>
      <w:r>
        <w:rPr>
          <w:noProof/>
          <w:lang w:eastAsia="en-GB"/>
        </w:rPr>
        <mc:AlternateContent>
          <mc:Choice Requires="wps">
            <w:drawing>
              <wp:anchor distT="45720" distB="45720" distL="114300" distR="114300" simplePos="0" relativeHeight="251658241" behindDoc="0" locked="0" layoutInCell="1" allowOverlap="1" wp14:anchorId="432D2B8F" wp14:editId="6BF44D71">
                <wp:simplePos x="0" y="0"/>
                <wp:positionH relativeFrom="margin">
                  <wp:posOffset>0</wp:posOffset>
                </wp:positionH>
                <wp:positionV relativeFrom="paragraph">
                  <wp:posOffset>285750</wp:posOffset>
                </wp:positionV>
                <wp:extent cx="5716905" cy="6286500"/>
                <wp:effectExtent l="0" t="0" r="1714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6286500"/>
                        </a:xfrm>
                        <a:prstGeom prst="rect">
                          <a:avLst/>
                        </a:prstGeom>
                        <a:solidFill>
                          <a:srgbClr val="FFFFFF"/>
                        </a:solidFill>
                        <a:ln w="9525">
                          <a:solidFill>
                            <a:srgbClr val="04AEB9"/>
                          </a:solidFill>
                          <a:miter lim="800000"/>
                          <a:headEnd/>
                          <a:tailEnd/>
                        </a:ln>
                      </wps:spPr>
                      <wps:txbx>
                        <w:txbxContent>
                          <w:p w:rsidR="00EC03D4" w:rsidP="001456B9" w:rsidRDefault="00185AC3" w14:paraId="01094F81" w14:textId="77777777">
                            <w:pPr>
                              <w:pStyle w:val="paragraph"/>
                              <w:spacing w:before="240" w:beforeAutospacing="0" w:after="12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r>
                              <w:rPr>
                                <w:rStyle w:val="normaltextrun"/>
                                <w:rFonts w:asciiTheme="minorHAnsi" w:hAnsiTheme="minorHAnsi" w:cstheme="minorHAnsi"/>
                                <w:bCs/>
                                <w:color w:val="000000"/>
                                <w:sz w:val="22"/>
                                <w:szCs w:val="22"/>
                              </w:rPr>
                              <w:t xml:space="preserve">The DSB </w:t>
                            </w:r>
                            <w:r w:rsidR="004C35EC">
                              <w:rPr>
                                <w:rStyle w:val="normaltextrun"/>
                                <w:rFonts w:asciiTheme="minorHAnsi" w:hAnsiTheme="minorHAnsi" w:cstheme="minorHAnsi"/>
                                <w:bCs/>
                                <w:color w:val="000000"/>
                                <w:sz w:val="22"/>
                                <w:szCs w:val="22"/>
                              </w:rPr>
                              <w:t>has revised the estimated number of paid users</w:t>
                            </w:r>
                            <w:r w:rsidR="004D624E">
                              <w:rPr>
                                <w:rStyle w:val="normaltextrun"/>
                                <w:rFonts w:asciiTheme="minorHAnsi" w:hAnsiTheme="minorHAnsi" w:cstheme="minorHAnsi"/>
                                <w:bCs/>
                                <w:color w:val="000000"/>
                                <w:sz w:val="22"/>
                                <w:szCs w:val="22"/>
                              </w:rPr>
                              <w:t xml:space="preserve"> as a result of industry feedback on a query about the target service model, specifically about the timing of free-to-use downloadable delta files</w:t>
                            </w:r>
                            <w:r w:rsidR="0051487C">
                              <w:rPr>
                                <w:rStyle w:val="normaltextrun"/>
                                <w:rFonts w:asciiTheme="minorHAnsi" w:hAnsiTheme="minorHAnsi" w:cstheme="minorHAnsi"/>
                                <w:bCs/>
                                <w:color w:val="000000"/>
                                <w:sz w:val="22"/>
                                <w:szCs w:val="22"/>
                              </w:rPr>
                              <w:t>, which have been requested at an earlier point in time</w:t>
                            </w:r>
                            <w:r w:rsidR="004D624E">
                              <w:rPr>
                                <w:rStyle w:val="normaltextrun"/>
                                <w:rFonts w:asciiTheme="minorHAnsi" w:hAnsiTheme="minorHAnsi" w:cstheme="minorHAnsi"/>
                                <w:bCs/>
                                <w:color w:val="000000"/>
                                <w:sz w:val="22"/>
                                <w:szCs w:val="22"/>
                              </w:rPr>
                              <w:t>.</w:t>
                            </w:r>
                            <w:r w:rsidR="00D36E48">
                              <w:rPr>
                                <w:rStyle w:val="normaltextrun"/>
                                <w:rFonts w:asciiTheme="minorHAnsi" w:hAnsiTheme="minorHAnsi" w:cstheme="minorHAnsi"/>
                                <w:bCs/>
                                <w:color w:val="000000"/>
                                <w:sz w:val="22"/>
                                <w:szCs w:val="22"/>
                              </w:rPr>
                              <w:t xml:space="preserve"> </w:t>
                            </w:r>
                            <w:r w:rsidR="001A6A77">
                              <w:rPr>
                                <w:rStyle w:val="normaltextrun"/>
                                <w:rFonts w:asciiTheme="minorHAnsi" w:hAnsiTheme="minorHAnsi" w:cstheme="minorHAnsi"/>
                                <w:bCs/>
                                <w:color w:val="000000"/>
                                <w:sz w:val="22"/>
                                <w:szCs w:val="22"/>
                              </w:rPr>
                              <w:t xml:space="preserve">The anticipated number of organizations expected to use the DSB’s UPI service is expected to lie in the range between those previously forecast, and a lower range that more closely mirrors existing user interaction patterns. </w:t>
                            </w:r>
                          </w:p>
                          <w:p w:rsidR="00734D7E" w:rsidP="001456B9" w:rsidRDefault="00EC03D4" w14:paraId="5D3BBBA3" w14:textId="77777777">
                            <w:pPr>
                              <w:pStyle w:val="paragraph"/>
                              <w:spacing w:before="240" w:beforeAutospacing="0" w:after="12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The lower threshold therefore </w:t>
                            </w:r>
                            <w:r w:rsidR="00005E1A">
                              <w:rPr>
                                <w:rStyle w:val="normaltextrun"/>
                                <w:rFonts w:asciiTheme="minorHAnsi" w:hAnsiTheme="minorHAnsi" w:cstheme="minorHAnsi"/>
                                <w:bCs/>
                                <w:color w:val="000000"/>
                                <w:sz w:val="22"/>
                                <w:szCs w:val="22"/>
                              </w:rPr>
                              <w:t>show</w:t>
                            </w:r>
                            <w:r>
                              <w:rPr>
                                <w:rStyle w:val="normaltextrun"/>
                                <w:rFonts w:asciiTheme="minorHAnsi" w:hAnsiTheme="minorHAnsi" w:cstheme="minorHAnsi"/>
                                <w:bCs/>
                                <w:color w:val="000000"/>
                                <w:sz w:val="22"/>
                                <w:szCs w:val="22"/>
                              </w:rPr>
                              <w:t>s</w:t>
                            </w:r>
                            <w:r w:rsidR="00734D7E">
                              <w:rPr>
                                <w:rStyle w:val="normaltextrun"/>
                                <w:rFonts w:asciiTheme="minorHAnsi" w:hAnsiTheme="minorHAnsi" w:cstheme="minorHAnsi"/>
                                <w:bCs/>
                                <w:color w:val="000000"/>
                                <w:sz w:val="22"/>
                                <w:szCs w:val="22"/>
                              </w:rPr>
                              <w:t>:</w:t>
                            </w:r>
                          </w:p>
                          <w:p w:rsidRPr="003F5F8A" w:rsidR="00734D7E" w:rsidP="00533C79" w:rsidRDefault="00734D7E" w14:paraId="579A49C3" w14:textId="3EC8D93B">
                            <w:pPr>
                              <w:pStyle w:val="ListParagraph"/>
                              <w:numPr>
                                <w:ilvl w:val="0"/>
                                <w:numId w:val="11"/>
                              </w:numPr>
                              <w:spacing w:line="276" w:lineRule="auto"/>
                              <w:jc w:val="both"/>
                            </w:pPr>
                            <w:r>
                              <w:t>5</w:t>
                            </w:r>
                            <w:r w:rsidR="007E0228">
                              <w:t>11</w:t>
                            </w:r>
                            <w:r w:rsidRPr="003F5F8A">
                              <w:t xml:space="preserve"> </w:t>
                            </w:r>
                            <w:r w:rsidR="00272D87">
                              <w:t xml:space="preserve">organizations </w:t>
                            </w:r>
                            <w:r w:rsidR="003B7241">
                              <w:t>representing</w:t>
                            </w:r>
                            <w:r>
                              <w:t xml:space="preserve"> </w:t>
                            </w:r>
                            <w:r w:rsidR="00EA3E16">
                              <w:t>3.4k legal entities</w:t>
                            </w:r>
                            <w:r>
                              <w:t xml:space="preserve"> </w:t>
                            </w:r>
                            <w:r w:rsidRPr="003F5F8A">
                              <w:t xml:space="preserve">will pay to connect programmatically </w:t>
                            </w:r>
                            <w:r w:rsidR="00213E1F">
                              <w:t xml:space="preserve">to create and/or search for UPI records </w:t>
                            </w:r>
                          </w:p>
                          <w:p w:rsidR="00734D7E" w:rsidP="000C04DE" w:rsidRDefault="00734D7E" w14:paraId="550C9235" w14:textId="6AE085B1">
                            <w:pPr>
                              <w:pStyle w:val="ListParagraph"/>
                              <w:numPr>
                                <w:ilvl w:val="0"/>
                                <w:numId w:val="11"/>
                              </w:numPr>
                              <w:spacing w:line="276" w:lineRule="auto"/>
                              <w:jc w:val="both"/>
                            </w:pPr>
                            <w:r>
                              <w:t>2,</w:t>
                            </w:r>
                            <w:r w:rsidR="00EA3E16">
                              <w:t xml:space="preserve">437 organizations representing </w:t>
                            </w:r>
                            <w:r w:rsidR="007528B1">
                              <w:t xml:space="preserve">16.3k legal entities </w:t>
                            </w:r>
                            <w:r w:rsidRPr="003F5F8A">
                              <w:t xml:space="preserve">will pay to connect manually </w:t>
                            </w:r>
                            <w:r>
                              <w:t xml:space="preserve">to create </w:t>
                            </w:r>
                            <w:r w:rsidR="00213E1F">
                              <w:t xml:space="preserve">UPI records </w:t>
                            </w:r>
                          </w:p>
                          <w:p w:rsidR="00734D7E" w:rsidP="003B5844" w:rsidRDefault="00734D7E" w14:paraId="5E51E952" w14:textId="39305735">
                            <w:pPr>
                              <w:pStyle w:val="ListParagraph"/>
                              <w:numPr>
                                <w:ilvl w:val="0"/>
                                <w:numId w:val="11"/>
                              </w:numPr>
                              <w:spacing w:after="0" w:line="276" w:lineRule="auto"/>
                              <w:jc w:val="both"/>
                            </w:pPr>
                            <w:r>
                              <w:t>17,</w:t>
                            </w:r>
                            <w:r w:rsidR="00BD148C">
                              <w:t>2</w:t>
                            </w:r>
                            <w:r>
                              <w:t xml:space="preserve">00 </w:t>
                            </w:r>
                            <w:r w:rsidR="00BD148C">
                              <w:t xml:space="preserve">organizations representing </w:t>
                            </w:r>
                            <w:r w:rsidR="00DD38C0">
                              <w:t>115k legal entities</w:t>
                            </w:r>
                            <w:r>
                              <w:t xml:space="preserve"> will connect free of cost </w:t>
                            </w:r>
                            <w:r w:rsidR="00213E1F">
                              <w:t xml:space="preserve">to search for and/or download UPI records </w:t>
                            </w:r>
                          </w:p>
                          <w:p w:rsidR="00462CCC" w:rsidP="00FF24E6" w:rsidRDefault="00734D7E" w14:paraId="0770E87A" w14:textId="057434FA">
                            <w:pPr>
                              <w:spacing w:after="240"/>
                              <w:ind w:left="357"/>
                              <w:jc w:val="both"/>
                            </w:pPr>
                            <w:r>
                              <w:t>i.e. approximately 20,</w:t>
                            </w:r>
                            <w:r w:rsidR="000B5B5C">
                              <w:t>2</w:t>
                            </w:r>
                            <w:r>
                              <w:t>00 entity groups representing 13</w:t>
                            </w:r>
                            <w:r w:rsidR="000B5B5C">
                              <w:t>5</w:t>
                            </w:r>
                            <w:r>
                              <w:t xml:space="preserve">,000 organizations that currently report data to trade repositories </w:t>
                            </w:r>
                          </w:p>
                          <w:p w:rsidR="00462CCC" w:rsidP="001456B9" w:rsidRDefault="00462CCC" w14:paraId="11934333" w14:textId="77777777">
                            <w:pPr>
                              <w:jc w:val="both"/>
                            </w:pPr>
                            <w:r>
                              <w:t>The upper bound of user estimates as in line with the proposal set out in the earlier prior consultation paper, and with which industry appears to be comfortable:</w:t>
                            </w:r>
                          </w:p>
                          <w:p w:rsidRPr="003F5F8A" w:rsidR="00D93786" w:rsidP="001456B9" w:rsidRDefault="00D93786" w14:paraId="5985BBD1" w14:textId="77777777">
                            <w:pPr>
                              <w:pStyle w:val="ListParagraph"/>
                              <w:numPr>
                                <w:ilvl w:val="0"/>
                                <w:numId w:val="11"/>
                              </w:numPr>
                              <w:spacing w:line="276" w:lineRule="auto"/>
                              <w:jc w:val="both"/>
                            </w:pPr>
                            <w:r w:rsidRPr="003F5F8A">
                              <w:t xml:space="preserve">12,000 organizations representing 80.5k legal entities will pay to connect programmatically </w:t>
                            </w:r>
                          </w:p>
                          <w:p w:rsidR="00D93786" w:rsidP="001456B9" w:rsidRDefault="00D93786" w14:paraId="7A8314EB" w14:textId="77777777">
                            <w:pPr>
                              <w:pStyle w:val="ListParagraph"/>
                              <w:numPr>
                                <w:ilvl w:val="0"/>
                                <w:numId w:val="11"/>
                              </w:numPr>
                              <w:spacing w:line="276" w:lineRule="auto"/>
                              <w:jc w:val="both"/>
                            </w:pPr>
                            <w:r w:rsidRPr="003F5F8A">
                              <w:t xml:space="preserve">8,000 organizations representing 53k legal entities will pay to connect manually </w:t>
                            </w:r>
                          </w:p>
                          <w:p w:rsidRPr="003F5F8A" w:rsidR="00D93786" w:rsidP="001456B9" w:rsidRDefault="00D93786" w14:paraId="11C66CF7" w14:textId="77777777">
                            <w:pPr>
                              <w:pStyle w:val="ListParagraph"/>
                              <w:numPr>
                                <w:ilvl w:val="0"/>
                                <w:numId w:val="11"/>
                              </w:numPr>
                              <w:spacing w:line="276" w:lineRule="auto"/>
                              <w:jc w:val="both"/>
                            </w:pPr>
                            <w:r>
                              <w:t xml:space="preserve">20,000 organizations representing 133.5k legal entities will connect free of cost  </w:t>
                            </w:r>
                          </w:p>
                          <w:p w:rsidRPr="003F5F8A" w:rsidR="00462CCC" w:rsidP="001456B9" w:rsidRDefault="00462CCC" w14:paraId="044F014C" w14:textId="77777777">
                            <w:pPr>
                              <w:jc w:val="both"/>
                            </w:pPr>
                          </w:p>
                          <w:p w:rsidR="00185AC3" w:rsidP="001456B9" w:rsidRDefault="00185AC3" w14:paraId="65F1719C" w14:textId="4B9EBD42">
                            <w:pPr>
                              <w:jc w:val="both"/>
                              <w:rPr>
                                <w:rStyle w:val="normaltextrun"/>
                                <w:rFonts w:cstheme="minorHAnsi"/>
                                <w:b/>
                                <w:i/>
                                <w:color w:val="000000"/>
                              </w:rPr>
                            </w:pPr>
                            <w:r w:rsidRPr="009D3DF4">
                              <w:rPr>
                                <w:rStyle w:val="normaltextrun"/>
                                <w:rFonts w:cstheme="minorHAnsi"/>
                                <w:b/>
                                <w:i/>
                                <w:color w:val="000000"/>
                              </w:rPr>
                              <w:t xml:space="preserve">Question 1a: </w:t>
                            </w:r>
                            <w:r w:rsidRPr="00E63BBE">
                              <w:rPr>
                                <w:rStyle w:val="normaltextrun"/>
                                <w:rFonts w:cstheme="minorHAnsi"/>
                                <w:b/>
                                <w:i/>
                                <w:color w:val="000000"/>
                              </w:rPr>
                              <w:t xml:space="preserve">Do you concur with </w:t>
                            </w:r>
                            <w:r w:rsidR="00902BD1">
                              <w:rPr>
                                <w:rStyle w:val="normaltextrun"/>
                                <w:rFonts w:cstheme="minorHAnsi"/>
                                <w:b/>
                                <w:i/>
                                <w:color w:val="000000"/>
                              </w:rPr>
                              <w:t xml:space="preserve">the </w:t>
                            </w:r>
                            <w:r w:rsidR="0096657A">
                              <w:rPr>
                                <w:rStyle w:val="normaltextrun"/>
                                <w:rFonts w:cstheme="minorHAnsi"/>
                                <w:b/>
                                <w:i/>
                                <w:color w:val="000000"/>
                              </w:rPr>
                              <w:t>projected user estimates</w:t>
                            </w:r>
                            <w:r w:rsidR="00B50BBC">
                              <w:rPr>
                                <w:rStyle w:val="normaltextrun"/>
                                <w:rFonts w:cstheme="minorHAnsi"/>
                                <w:b/>
                                <w:i/>
                                <w:color w:val="000000"/>
                              </w:rPr>
                              <w:t xml:space="preserve">? </w:t>
                            </w:r>
                          </w:p>
                          <w:p w:rsidRPr="00E63BBE" w:rsidR="00185AC3" w:rsidP="001456B9" w:rsidRDefault="00185AC3" w14:paraId="7AA065EE" w14:textId="77777777">
                            <w:pPr>
                              <w:jc w:val="both"/>
                              <w:rPr>
                                <w:rStyle w:val="normaltextrun"/>
                                <w:rFonts w:cstheme="minorHAnsi"/>
                                <w:b/>
                                <w:i/>
                                <w:color w:val="000000"/>
                              </w:rPr>
                            </w:pPr>
                            <w:r w:rsidRPr="009D3DF4">
                              <w:rPr>
                                <w:rStyle w:val="normaltextrun"/>
                                <w:rFonts w:cstheme="minorHAnsi"/>
                                <w:b/>
                                <w:i/>
                                <w:color w:val="000000"/>
                              </w:rPr>
                              <w:t xml:space="preserve">Question 1b: </w:t>
                            </w:r>
                            <w:r w:rsidRPr="00E63BBE">
                              <w:rPr>
                                <w:rStyle w:val="normaltextrun"/>
                                <w:rFonts w:cstheme="minorHAnsi"/>
                                <w:b/>
                                <w:i/>
                                <w:color w:val="000000"/>
                              </w:rPr>
                              <w:t xml:space="preserve">If not, what specific alternate approach do you recommend? Please provide a clear rationale and cite publicly available sources for any additional data points you believe should be incorporated into the DSB’s assumptions.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3EC1931">
              <v:shapetype id="_x0000_t202" coordsize="21600,21600" o:spt="202" path="m,l,21600r21600,l21600,xe" w14:anchorId="432D2B8F">
                <v:stroke joinstyle="miter"/>
                <v:path gradientshapeok="t" o:connecttype="rect"/>
              </v:shapetype>
              <v:shape id="Text Box 2" style="position:absolute;left:0;text-align:left;margin-left:0;margin-top:22.5pt;width:450.15pt;height:49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color="#04aeb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">
                <v:textbox>
                  <w:txbxContent>
                    <w:p w:rsidR="00EC03D4" w:rsidP="001456B9" w:rsidRDefault="00185AC3" w14:paraId="516135B8" w14:textId="77777777">
                      <w:pPr>
                        <w:pStyle w:val="paragraph"/>
                        <w:spacing w:before="240" w:beforeAutospacing="0" w:after="12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r>
                        <w:rPr>
                          <w:rStyle w:val="normaltextrun"/>
                          <w:rFonts w:asciiTheme="minorHAnsi" w:hAnsiTheme="minorHAnsi" w:cstheme="minorHAnsi"/>
                          <w:bCs/>
                          <w:color w:val="000000"/>
                          <w:sz w:val="22"/>
                          <w:szCs w:val="22"/>
                        </w:rPr>
                        <w:t xml:space="preserve">The DSB </w:t>
                      </w:r>
                      <w:r w:rsidR="004C35EC">
                        <w:rPr>
                          <w:rStyle w:val="normaltextrun"/>
                          <w:rFonts w:asciiTheme="minorHAnsi" w:hAnsiTheme="minorHAnsi" w:cstheme="minorHAnsi"/>
                          <w:bCs/>
                          <w:color w:val="000000"/>
                          <w:sz w:val="22"/>
                          <w:szCs w:val="22"/>
                        </w:rPr>
                        <w:t>has revised the estimated number of paid users</w:t>
                      </w:r>
                      <w:r w:rsidR="004D624E">
                        <w:rPr>
                          <w:rStyle w:val="normaltextrun"/>
                          <w:rFonts w:asciiTheme="minorHAnsi" w:hAnsiTheme="minorHAnsi" w:cstheme="minorHAnsi"/>
                          <w:bCs/>
                          <w:color w:val="000000"/>
                          <w:sz w:val="22"/>
                          <w:szCs w:val="22"/>
                        </w:rPr>
                        <w:t xml:space="preserve"> as a result of industry feedback on a query about the target service model, specifically about the timing of free-to-use downloadable delta files</w:t>
                      </w:r>
                      <w:r w:rsidR="0051487C">
                        <w:rPr>
                          <w:rStyle w:val="normaltextrun"/>
                          <w:rFonts w:asciiTheme="minorHAnsi" w:hAnsiTheme="minorHAnsi" w:cstheme="minorHAnsi"/>
                          <w:bCs/>
                          <w:color w:val="000000"/>
                          <w:sz w:val="22"/>
                          <w:szCs w:val="22"/>
                        </w:rPr>
                        <w:t>, which have been requested at an earlier point in time</w:t>
                      </w:r>
                      <w:r w:rsidR="004D624E">
                        <w:rPr>
                          <w:rStyle w:val="normaltextrun"/>
                          <w:rFonts w:asciiTheme="minorHAnsi" w:hAnsiTheme="minorHAnsi" w:cstheme="minorHAnsi"/>
                          <w:bCs/>
                          <w:color w:val="000000"/>
                          <w:sz w:val="22"/>
                          <w:szCs w:val="22"/>
                        </w:rPr>
                        <w:t>.</w:t>
                      </w:r>
                      <w:r w:rsidR="00D36E48">
                        <w:rPr>
                          <w:rStyle w:val="normaltextrun"/>
                          <w:rFonts w:asciiTheme="minorHAnsi" w:hAnsiTheme="minorHAnsi" w:cstheme="minorHAnsi"/>
                          <w:bCs/>
                          <w:color w:val="000000"/>
                          <w:sz w:val="22"/>
                          <w:szCs w:val="22"/>
                        </w:rPr>
                        <w:t xml:space="preserve"> </w:t>
                      </w:r>
                      <w:r w:rsidR="001A6A77">
                        <w:rPr>
                          <w:rStyle w:val="normaltextrun"/>
                          <w:rFonts w:asciiTheme="minorHAnsi" w:hAnsiTheme="minorHAnsi" w:cstheme="minorHAnsi"/>
                          <w:bCs/>
                          <w:color w:val="000000"/>
                          <w:sz w:val="22"/>
                          <w:szCs w:val="22"/>
                        </w:rPr>
                        <w:t xml:space="preserve">The anticipated number of organizations expected to use the DSB’s UPI service is expected to lie in the range between those previously forecast, and a lower range that more closely mirrors existing user interaction patterns. </w:t>
                      </w:r>
                    </w:p>
                    <w:p w:rsidR="00734D7E" w:rsidP="001456B9" w:rsidRDefault="00EC03D4" w14:paraId="0EE6797F" w14:textId="77777777">
                      <w:pPr>
                        <w:pStyle w:val="paragraph"/>
                        <w:spacing w:before="240" w:beforeAutospacing="0" w:after="12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The lower threshold therefore </w:t>
                      </w:r>
                      <w:r w:rsidR="00005E1A">
                        <w:rPr>
                          <w:rStyle w:val="normaltextrun"/>
                          <w:rFonts w:asciiTheme="minorHAnsi" w:hAnsiTheme="minorHAnsi" w:cstheme="minorHAnsi"/>
                          <w:bCs/>
                          <w:color w:val="000000"/>
                          <w:sz w:val="22"/>
                          <w:szCs w:val="22"/>
                        </w:rPr>
                        <w:t>show</w:t>
                      </w:r>
                      <w:r>
                        <w:rPr>
                          <w:rStyle w:val="normaltextrun"/>
                          <w:rFonts w:asciiTheme="minorHAnsi" w:hAnsiTheme="minorHAnsi" w:cstheme="minorHAnsi"/>
                          <w:bCs/>
                          <w:color w:val="000000"/>
                          <w:sz w:val="22"/>
                          <w:szCs w:val="22"/>
                        </w:rPr>
                        <w:t>s</w:t>
                      </w:r>
                      <w:r w:rsidR="00734D7E">
                        <w:rPr>
                          <w:rStyle w:val="normaltextrun"/>
                          <w:rFonts w:asciiTheme="minorHAnsi" w:hAnsiTheme="minorHAnsi" w:cstheme="minorHAnsi"/>
                          <w:bCs/>
                          <w:color w:val="000000"/>
                          <w:sz w:val="22"/>
                          <w:szCs w:val="22"/>
                        </w:rPr>
                        <w:t>:</w:t>
                      </w:r>
                    </w:p>
                    <w:p w:rsidRPr="003F5F8A" w:rsidR="00734D7E" w:rsidP="00533C79" w:rsidRDefault="00734D7E" w14:paraId="23F731F0" w14:textId="3EC8D93B">
                      <w:pPr>
                        <w:pStyle w:val="ListParagraph"/>
                        <w:numPr>
                          <w:ilvl w:val="0"/>
                          <w:numId w:val="11"/>
                        </w:numPr>
                        <w:spacing w:line="276" w:lineRule="auto"/>
                        <w:jc w:val="both"/>
                      </w:pPr>
                      <w:r>
                        <w:t>5</w:t>
                      </w:r>
                      <w:r w:rsidR="007E0228">
                        <w:t>11</w:t>
                      </w:r>
                      <w:r w:rsidRPr="003F5F8A">
                        <w:t xml:space="preserve"> </w:t>
                      </w:r>
                      <w:r w:rsidR="00272D87">
                        <w:t xml:space="preserve">organizations </w:t>
                      </w:r>
                      <w:r w:rsidR="003B7241">
                        <w:t>representing</w:t>
                      </w:r>
                      <w:r>
                        <w:t xml:space="preserve"> </w:t>
                      </w:r>
                      <w:r w:rsidR="00EA3E16">
                        <w:t>3.4k legal entities</w:t>
                      </w:r>
                      <w:r>
                        <w:t xml:space="preserve"> </w:t>
                      </w:r>
                      <w:r w:rsidRPr="003F5F8A">
                        <w:t xml:space="preserve">will pay to connect programmatically </w:t>
                      </w:r>
                      <w:r w:rsidR="00213E1F">
                        <w:t xml:space="preserve">to create and/or search for UPI records </w:t>
                      </w:r>
                    </w:p>
                    <w:p w:rsidR="00734D7E" w:rsidP="000C04DE" w:rsidRDefault="00734D7E" w14:paraId="397B964F" w14:textId="6AE085B1">
                      <w:pPr>
                        <w:pStyle w:val="ListParagraph"/>
                        <w:numPr>
                          <w:ilvl w:val="0"/>
                          <w:numId w:val="11"/>
                        </w:numPr>
                        <w:spacing w:line="276" w:lineRule="auto"/>
                        <w:jc w:val="both"/>
                      </w:pPr>
                      <w:r>
                        <w:t>2,</w:t>
                      </w:r>
                      <w:r w:rsidR="00EA3E16">
                        <w:t xml:space="preserve">437 organizations representing </w:t>
                      </w:r>
                      <w:r w:rsidR="007528B1">
                        <w:t xml:space="preserve">16.3k legal entities </w:t>
                      </w:r>
                      <w:r w:rsidRPr="003F5F8A">
                        <w:t xml:space="preserve">will pay to connect manually </w:t>
                      </w:r>
                      <w:r>
                        <w:t xml:space="preserve">to create </w:t>
                      </w:r>
                      <w:r w:rsidR="00213E1F">
                        <w:t xml:space="preserve">UPI records </w:t>
                      </w:r>
                    </w:p>
                    <w:p w:rsidR="00734D7E" w:rsidP="003B5844" w:rsidRDefault="00734D7E" w14:paraId="5D20389C" w14:textId="39305735">
                      <w:pPr>
                        <w:pStyle w:val="ListParagraph"/>
                        <w:numPr>
                          <w:ilvl w:val="0"/>
                          <w:numId w:val="11"/>
                        </w:numPr>
                        <w:spacing w:after="0" w:line="276" w:lineRule="auto"/>
                        <w:jc w:val="both"/>
                      </w:pPr>
                      <w:r>
                        <w:t>17,</w:t>
                      </w:r>
                      <w:r w:rsidR="00BD148C">
                        <w:t>2</w:t>
                      </w:r>
                      <w:r>
                        <w:t xml:space="preserve">00 </w:t>
                      </w:r>
                      <w:r w:rsidR="00BD148C">
                        <w:t xml:space="preserve">organizations representing </w:t>
                      </w:r>
                      <w:r w:rsidR="00DD38C0">
                        <w:t>115k legal entities</w:t>
                      </w:r>
                      <w:r>
                        <w:t xml:space="preserve"> will connect free of cost </w:t>
                      </w:r>
                      <w:r w:rsidR="00213E1F">
                        <w:t xml:space="preserve">to search for and/or download UPI records </w:t>
                      </w:r>
                    </w:p>
                    <w:p w:rsidR="00462CCC" w:rsidP="00FF24E6" w:rsidRDefault="00734D7E" w14:paraId="2D11616A" w14:textId="057434FA">
                      <w:pPr>
                        <w:spacing w:after="240"/>
                        <w:ind w:left="357"/>
                        <w:jc w:val="both"/>
                      </w:pPr>
                      <w:r>
                        <w:t>i.e. approximately 20,</w:t>
                      </w:r>
                      <w:r w:rsidR="000B5B5C">
                        <w:t>2</w:t>
                      </w:r>
                      <w:r>
                        <w:t>00 entity groups representing 13</w:t>
                      </w:r>
                      <w:r w:rsidR="000B5B5C">
                        <w:t>5</w:t>
                      </w:r>
                      <w:r>
                        <w:t xml:space="preserve">,000 organizations that currently report data to trade repositories </w:t>
                      </w:r>
                    </w:p>
                    <w:p w:rsidR="00462CCC" w:rsidP="001456B9" w:rsidRDefault="00462CCC" w14:paraId="3A3484DB" w14:textId="77777777">
                      <w:pPr>
                        <w:jc w:val="both"/>
                      </w:pPr>
                      <w:r>
                        <w:t>The upper bound of user estimates as in line with the proposal set out in the earlier prior consultation paper, and with which industry appears to be comfortable:</w:t>
                      </w:r>
                    </w:p>
                    <w:p w:rsidRPr="003F5F8A" w:rsidR="00D93786" w:rsidP="001456B9" w:rsidRDefault="00D93786" w14:paraId="00F2AB62" w14:textId="77777777">
                      <w:pPr>
                        <w:pStyle w:val="ListParagraph"/>
                        <w:numPr>
                          <w:ilvl w:val="0"/>
                          <w:numId w:val="11"/>
                        </w:numPr>
                        <w:spacing w:line="276" w:lineRule="auto"/>
                        <w:jc w:val="both"/>
                      </w:pPr>
                      <w:r w:rsidRPr="003F5F8A">
                        <w:t xml:space="preserve">12,000 organizations representing 80.5k legal entities will pay to connect programmatically </w:t>
                      </w:r>
                    </w:p>
                    <w:p w:rsidR="00D93786" w:rsidP="001456B9" w:rsidRDefault="00D93786" w14:paraId="48F46A4C" w14:textId="77777777">
                      <w:pPr>
                        <w:pStyle w:val="ListParagraph"/>
                        <w:numPr>
                          <w:ilvl w:val="0"/>
                          <w:numId w:val="11"/>
                        </w:numPr>
                        <w:spacing w:line="276" w:lineRule="auto"/>
                        <w:jc w:val="both"/>
                      </w:pPr>
                      <w:r w:rsidRPr="003F5F8A">
                        <w:t xml:space="preserve">8,000 organizations representing 53k legal entities will pay to connect manually </w:t>
                      </w:r>
                    </w:p>
                    <w:p w:rsidRPr="003F5F8A" w:rsidR="00D93786" w:rsidP="001456B9" w:rsidRDefault="00D93786" w14:paraId="0E0522ED" w14:textId="77777777">
                      <w:pPr>
                        <w:pStyle w:val="ListParagraph"/>
                        <w:numPr>
                          <w:ilvl w:val="0"/>
                          <w:numId w:val="11"/>
                        </w:numPr>
                        <w:spacing w:line="276" w:lineRule="auto"/>
                        <w:jc w:val="both"/>
                      </w:pPr>
                      <w:r>
                        <w:t xml:space="preserve">20,000 organizations representing 133.5k legal entities will connect free of cost  </w:t>
                      </w:r>
                    </w:p>
                    <w:p w:rsidRPr="003F5F8A" w:rsidR="00462CCC" w:rsidP="001456B9" w:rsidRDefault="00462CCC" w14:paraId="672A6659" w14:textId="77777777">
                      <w:pPr>
                        <w:jc w:val="both"/>
                      </w:pPr>
                    </w:p>
                    <w:p w:rsidR="00185AC3" w:rsidP="001456B9" w:rsidRDefault="00185AC3" w14:paraId="19FB97E5" w14:textId="4B9EBD42">
                      <w:pPr>
                        <w:jc w:val="both"/>
                        <w:rPr>
                          <w:rStyle w:val="normaltextrun"/>
                          <w:rFonts w:cstheme="minorHAnsi"/>
                          <w:b/>
                          <w:i/>
                          <w:color w:val="000000"/>
                        </w:rPr>
                      </w:pPr>
                      <w:r w:rsidRPr="009D3DF4">
                        <w:rPr>
                          <w:rStyle w:val="normaltextrun"/>
                          <w:rFonts w:cstheme="minorHAnsi"/>
                          <w:b/>
                          <w:i/>
                          <w:color w:val="000000"/>
                        </w:rPr>
                        <w:t xml:space="preserve">Question 1a: </w:t>
                      </w:r>
                      <w:r w:rsidRPr="00E63BBE">
                        <w:rPr>
                          <w:rStyle w:val="normaltextrun"/>
                          <w:rFonts w:cstheme="minorHAnsi"/>
                          <w:b/>
                          <w:i/>
                          <w:color w:val="000000"/>
                        </w:rPr>
                        <w:t xml:space="preserve">Do you concur with </w:t>
                      </w:r>
                      <w:r w:rsidR="00902BD1">
                        <w:rPr>
                          <w:rStyle w:val="normaltextrun"/>
                          <w:rFonts w:cstheme="minorHAnsi"/>
                          <w:b/>
                          <w:i/>
                          <w:color w:val="000000"/>
                        </w:rPr>
                        <w:t xml:space="preserve">the </w:t>
                      </w:r>
                      <w:r w:rsidR="0096657A">
                        <w:rPr>
                          <w:rStyle w:val="normaltextrun"/>
                          <w:rFonts w:cstheme="minorHAnsi"/>
                          <w:b/>
                          <w:i/>
                          <w:color w:val="000000"/>
                        </w:rPr>
                        <w:t>projected user estimates</w:t>
                      </w:r>
                      <w:r w:rsidR="00B50BBC">
                        <w:rPr>
                          <w:rStyle w:val="normaltextrun"/>
                          <w:rFonts w:cstheme="minorHAnsi"/>
                          <w:b/>
                          <w:i/>
                          <w:color w:val="000000"/>
                        </w:rPr>
                        <w:t xml:space="preserve">? </w:t>
                      </w:r>
                    </w:p>
                    <w:p w:rsidRPr="00E63BBE" w:rsidR="00185AC3" w:rsidP="001456B9" w:rsidRDefault="00185AC3" w14:paraId="3AF93E5E" w14:textId="77777777">
                      <w:pPr>
                        <w:jc w:val="both"/>
                        <w:rPr>
                          <w:rStyle w:val="normaltextrun"/>
                          <w:rFonts w:cstheme="minorHAnsi"/>
                          <w:b/>
                          <w:i/>
                          <w:color w:val="000000"/>
                        </w:rPr>
                      </w:pPr>
                      <w:r w:rsidRPr="009D3DF4">
                        <w:rPr>
                          <w:rStyle w:val="normaltextrun"/>
                          <w:rFonts w:cstheme="minorHAnsi"/>
                          <w:b/>
                          <w:i/>
                          <w:color w:val="000000"/>
                        </w:rPr>
                        <w:t xml:space="preserve">Question 1b: </w:t>
                      </w:r>
                      <w:r w:rsidRPr="00E63BBE">
                        <w:rPr>
                          <w:rStyle w:val="normaltextrun"/>
                          <w:rFonts w:cstheme="minorHAnsi"/>
                          <w:b/>
                          <w:i/>
                          <w:color w:val="000000"/>
                        </w:rPr>
                        <w:t xml:space="preserve">If not, what specific alternate approach do you recommend? Please provide a clear rationale and cite publicly available sources for any additional data points you believe should be incorporated into the DSB’s assumptions.  </w:t>
                      </w:r>
                    </w:p>
                  </w:txbxContent>
                </v:textbox>
                <w10:wrap type="square" anchorx="margin"/>
              </v:shape>
            </w:pict>
          </mc:Fallback>
        </mc:AlternateContent>
      </w:r>
      <w:r w:rsidR="00F73E49">
        <w:t>User Estimates</w:t>
      </w:r>
      <w:bookmarkEnd w:id="47"/>
      <w:bookmarkEnd w:id="48"/>
      <w:bookmarkEnd w:id="49"/>
      <w:r w:rsidR="00F73E49">
        <w:t xml:space="preserve"> </w:t>
      </w:r>
    </w:p>
    <w:p w:rsidRPr="003F5F8A" w:rsidR="00F73E49" w:rsidP="00AB4C9D" w:rsidRDefault="00F73E49" w14:paraId="45EE362E" w14:textId="77777777">
      <w:pPr>
        <w:spacing w:before="240"/>
        <w:jc w:val="both"/>
        <w:rPr>
          <w:u w:val="single"/>
        </w:rPr>
      </w:pPr>
      <w:r>
        <w:rPr>
          <w:u w:val="single"/>
        </w:rPr>
        <w:t>Summary of Responses:</w:t>
      </w:r>
    </w:p>
    <w:p w:rsidR="00F73E49" w:rsidP="00AB4C9D" w:rsidRDefault="00F73E49" w14:paraId="5EA15355" w14:textId="77777777">
      <w:pPr>
        <w:jc w:val="both"/>
      </w:pPr>
      <w:r>
        <w:t>The prior consultation paper set out assumptions about the number of DSB users, including the underlying rationale. Respondents were asked if they concurred with the data points presented and where they disagreed to propose specific alternate proposals supported by information in the public domain.</w:t>
      </w:r>
    </w:p>
    <w:p w:rsidR="00F73E49" w:rsidP="00AB4C9D" w:rsidRDefault="00F73E49" w14:paraId="6E06CECD" w14:textId="77777777">
      <w:pPr>
        <w:jc w:val="both"/>
      </w:pPr>
      <w:r>
        <w:t>Where respondents provided feedback to the question of estimated number of users expected to pay the DSB for access to the UPI (60% of all respondents), respondents noted that t</w:t>
      </w:r>
      <w:r w:rsidRPr="003A3D1B">
        <w:t xml:space="preserve">he conclusions </w:t>
      </w:r>
      <w:r>
        <w:t>appeared</w:t>
      </w:r>
      <w:r w:rsidRPr="003A3D1B">
        <w:t xml:space="preserve"> sound </w:t>
      </w:r>
      <w:r>
        <w:t xml:space="preserve">based on respondents’ market expertise, and were </w:t>
      </w:r>
      <w:r w:rsidRPr="003A3D1B">
        <w:t xml:space="preserve">also dependent on the </w:t>
      </w:r>
      <w:r>
        <w:t xml:space="preserve">final </w:t>
      </w:r>
      <w:r w:rsidRPr="003A3D1B">
        <w:t xml:space="preserve">regulatory </w:t>
      </w:r>
      <w:r>
        <w:t xml:space="preserve">requirements as some were still subject to consultation. Some users noted their expectation that while they saw the proposed data points as reasonable, this was on the basis that there would be both fee-paying and free-to-use UPI data services made available by the DSB, as is the case for existing DSB services. There were no responses indicating or stating that respondents had concerns with the proposition put forward by the DSB. </w:t>
      </w:r>
    </w:p>
    <w:p w:rsidR="00F73E49" w:rsidP="00AB4C9D" w:rsidRDefault="00F73E49" w14:paraId="16387008" w14:textId="77777777">
      <w:pPr>
        <w:jc w:val="both"/>
      </w:pPr>
      <w:r>
        <w:t xml:space="preserve">Forecast UPI user numbers have been revised following feedback from the market in response to industry feedback to the first of two UPI fee model related consultations (the Industry Consultation), as well as more nuanced information made available by the regulatory community. </w:t>
      </w:r>
    </w:p>
    <w:p w:rsidR="00F73E49" w:rsidP="00AB4C9D" w:rsidRDefault="00F73E49" w14:paraId="0E2EA991" w14:textId="40120F64">
      <w:pPr>
        <w:jc w:val="both"/>
      </w:pPr>
      <w:r>
        <w:t xml:space="preserve">The largest driver for the evolution of the model is confirmation from 83% of respondents to the Industry Consultation that respondents want access to free-to-use UPI files on the same timeline as that currently made available for the OTC ISIN (ref. item </w:t>
      </w:r>
      <w:r>
        <w:fldChar w:fldCharType="begin"/>
      </w:r>
      <w:r>
        <w:instrText xml:space="preserve"> REF _Ref68603003 \r \h </w:instrText>
      </w:r>
      <w:r>
        <w:fldChar w:fldCharType="separate"/>
      </w:r>
      <w:r w:rsidR="003D3315">
        <w:t>4.4</w:t>
      </w:r>
      <w:r>
        <w:fldChar w:fldCharType="end"/>
      </w:r>
      <w:r>
        <w:t xml:space="preserve"> below). The DSB’s previous user estimate model was aligned with the proposal set out in the consultation paper, which was to provide free to use files on a delayed timeline – thus driving the utilization towards a pay-to-play model that was equitable for the majority of market participants and did not place an undue burden on the largest firms. </w:t>
      </w:r>
    </w:p>
    <w:p w:rsidR="00F73E49" w:rsidP="00AB4C9D" w:rsidRDefault="00F73E49" w14:paraId="2F2BDE2B" w14:textId="77777777">
      <w:pPr>
        <w:jc w:val="both"/>
      </w:pPr>
      <w:r>
        <w:t xml:space="preserve">Notably, given the lower anticipated UPI volumes (compared to the existing OTC ISIN service), the DSB foresaw a risk that a larger proportion of the UPI user base (compared to the OTC ISIN service) may rely exclusively on the DSB’s free service, which includes daily generated machine-readable download files. In this circumstance, the cost for each fee-paying user would be higher than otherwise, and the DSB proposed access to the daily data files with a two day time-delay. </w:t>
      </w:r>
    </w:p>
    <w:p w:rsidR="00F73E49" w:rsidP="00AB4C9D" w:rsidRDefault="00F73E49" w14:paraId="40F6DDD4" w14:textId="77777777">
      <w:pPr>
        <w:jc w:val="both"/>
      </w:pPr>
      <w:r>
        <w:t xml:space="preserve">The timing of free-to-use UPI data files was the only topic on which every respondent (from each category of the UPI user base) provided feedback, with 83% of respondents disagreeing or strongly disagreeing with the DSB’s proposal to provide free to use files on a T+2 basis (citing a variety of reasons) and noted that free-to-use files should be provided on the same basis as that for the OTC ISIN today. The request for files to be made on the same basis as the OTC ISIN was independently received from each respondent.  </w:t>
      </w:r>
    </w:p>
    <w:p w:rsidR="00F73E49" w:rsidP="00AB4C9D" w:rsidRDefault="00F73E49" w14:paraId="59A8EF6C" w14:textId="77777777">
      <w:pPr>
        <w:jc w:val="both"/>
      </w:pPr>
      <w:r w:rsidRPr="00421B10">
        <w:rPr>
          <w:u w:val="single"/>
        </w:rPr>
        <w:t>DSB Proposal:</w:t>
      </w:r>
    </w:p>
    <w:p w:rsidR="00F73E49" w:rsidP="00AB4C9D" w:rsidRDefault="00F73E49" w14:paraId="40F5E12B" w14:textId="77777777">
      <w:pPr>
        <w:jc w:val="both"/>
      </w:pPr>
      <w:r>
        <w:t>Incorporating this feedback into projected UPI users resulted in a rebalancing of fee paying user projections, such that the ratio now more closely mirrors that for the OTC ISIN service today as the majority of users will no longer have to pay to access UPI data in a timely manner. It is interesting to note market feedback from associations that heavily represent the Sell-side (the institutions most likely to connect on a programmatic basis based on the DSB’s experience thus far</w:t>
      </w:r>
      <w:r>
        <w:rPr>
          <w:rStyle w:val="FootnoteReference"/>
        </w:rPr>
        <w:footnoteReference w:id="14"/>
      </w:r>
      <w:r>
        <w:t xml:space="preserve">) </w:t>
      </w:r>
      <w:r w:rsidRPr="009A73A0">
        <w:t>noting that the incremental cost saving for the highest fee-paying user category is not sufficient to justify the market disruption that would result if there was misalignment between the core approaches across the UPI and the OTC ISIN services.</w:t>
      </w:r>
      <w:r>
        <w:t xml:space="preserve">  </w:t>
      </w:r>
    </w:p>
    <w:p w:rsidR="00F73E49" w:rsidP="00AB4C9D" w:rsidRDefault="00F73E49" w14:paraId="33CC0DC8" w14:textId="77777777">
      <w:pPr>
        <w:jc w:val="both"/>
      </w:pPr>
      <w:r>
        <w:t xml:space="preserve">Other changes that resulted in model evolution include more nuanced regulatory data where regulators were able to provide detailed insight. Model updates allow for refined market concentration data, and deeper insight into the types of market participants. Where no further market structure insights were available, the DSB has revised the data on the basis of lessons learned through provision of the OTC ISIN service, with provisions made to mirror the prevailing steady state ratio of free users to paid users. Further, within the paid user category, the DSB has applied the consistently held model of users seeking to manually create data vs. those seeking access on a programmatic basis. </w:t>
      </w:r>
    </w:p>
    <w:p w:rsidR="00F73E49" w:rsidP="00AB4C9D" w:rsidRDefault="00F73E49" w14:paraId="36397F5C" w14:textId="3070C3EA">
      <w:pPr>
        <w:jc w:val="both"/>
      </w:pPr>
      <w:r>
        <w:t>The revised model approach seeks to evolve projections from cent</w:t>
      </w:r>
      <w:r w:rsidR="009A46BC">
        <w:t>e</w:t>
      </w:r>
      <w:r>
        <w:t>ring around a worst case scenario, to a user feedback driven more realistic scenario, while acknowledging that regulatory guidance continues to evolve.</w:t>
      </w:r>
    </w:p>
    <w:p w:rsidR="00F73E49" w:rsidP="00AB4C9D" w:rsidRDefault="00F73E49" w14:paraId="56D7ADC2" w14:textId="77777777">
      <w:pPr>
        <w:jc w:val="both"/>
      </w:pPr>
      <w:r>
        <w:t>As a reminder, i</w:t>
      </w:r>
      <w:r w:rsidRPr="009F5C43">
        <w:t xml:space="preserve">n light of the DSB’s current EU and UK focused service offering, </w:t>
      </w:r>
      <w:r>
        <w:t xml:space="preserve">DSB expects to </w:t>
      </w:r>
      <w:r w:rsidRPr="009F5C43">
        <w:t xml:space="preserve">onboard a significant number of </w:t>
      </w:r>
      <w:r w:rsidRPr="00DC6784">
        <w:t xml:space="preserve">new users to accommodate the transition from a European to a global service. In addition, </w:t>
      </w:r>
      <w:r>
        <w:t xml:space="preserve">with confirmation </w:t>
      </w:r>
      <w:r w:rsidRPr="003F5F8A">
        <w:t xml:space="preserve">that </w:t>
      </w:r>
      <w:r>
        <w:t>for institutions reporting in the EU, ESMA’s “…preliminary view is that the UPI could be considered as an alternative to the ISIN required in the transaction and reference data reports only in the event that the scope of MiFIR reporting was extended beyond ToTV instruments traded via an SI as recommended in section 5.2 of this Final Report. Importantly, ESMA considers that the choice of the ID to be used should not be left to the reporting entities. In order to ensure full alignment with the EMIR reporting requirements that are currently under review, the conditions under which UPI should be used instead of ISIN should be further determined by ESMA. However, ESMA acknowledges that these views are subject to the final implementation of the UPI.”</w:t>
      </w:r>
      <w:r w:rsidRPr="00BC5B2D">
        <w:rPr>
          <w:vertAlign w:val="superscript"/>
        </w:rPr>
        <w:footnoteReference w:id="15"/>
      </w:r>
    </w:p>
    <w:p w:rsidRPr="00DC6784" w:rsidR="00F73E49" w:rsidP="00AB4C9D" w:rsidRDefault="00F73E49" w14:paraId="2B31D44E" w14:textId="77777777">
      <w:pPr>
        <w:jc w:val="both"/>
      </w:pPr>
      <w:r w:rsidRPr="003F5F8A">
        <w:t xml:space="preserve">A similar scenario may occur in the UK, </w:t>
      </w:r>
      <w:r>
        <w:t>with</w:t>
      </w:r>
      <w:r w:rsidRPr="003F5F8A">
        <w:t xml:space="preserve"> on-venue (ToTV and uToTV</w:t>
      </w:r>
      <w:r w:rsidRPr="00B1476A">
        <w:rPr>
          <w:vertAlign w:val="superscript"/>
        </w:rPr>
        <w:footnoteReference w:id="16"/>
      </w:r>
      <w:r w:rsidRPr="003F5F8A">
        <w:t>) OTC derivative trades expected to be</w:t>
      </w:r>
      <w:r w:rsidRPr="009F5C43">
        <w:t xml:space="preserve"> reported with an OTC ISIN, and off-venue OTC derivative trades expected to be reported using a UPI. </w:t>
      </w:r>
    </w:p>
    <w:p w:rsidRPr="00DC6784" w:rsidR="00F73E49" w:rsidP="00AB4C9D" w:rsidRDefault="00F73E49" w14:paraId="31AA6C3C" w14:textId="77777777">
      <w:pPr>
        <w:jc w:val="both"/>
      </w:pPr>
      <w:r w:rsidRPr="00DC6784">
        <w:t xml:space="preserve">These assumptions have an impact on the estimated number of organizations that will need to consume the UPI – either directly from the DSB, or via a third party as part of downstream data distribution initiatives by industry.  </w:t>
      </w:r>
    </w:p>
    <w:p w:rsidRPr="00DC6784" w:rsidR="00F73E49" w:rsidP="00AB4C9D" w:rsidRDefault="00F73E49" w14:paraId="7207009A" w14:textId="77777777">
      <w:pPr>
        <w:spacing w:after="120"/>
        <w:jc w:val="both"/>
      </w:pPr>
      <w:r w:rsidRPr="00DC6784">
        <w:t>The DSB utilized four approaches in arriving at estimated numbers of legal entities that may need to connect directly to the service. These included:</w:t>
      </w:r>
    </w:p>
    <w:p w:rsidRPr="003F5F8A" w:rsidR="00F73E49" w:rsidP="00AB4C9D" w:rsidRDefault="00F73E49" w14:paraId="11AF06BD" w14:textId="77777777">
      <w:pPr>
        <w:pStyle w:val="ListParagraph"/>
        <w:numPr>
          <w:ilvl w:val="0"/>
          <w:numId w:val="11"/>
        </w:numPr>
        <w:spacing w:line="276" w:lineRule="auto"/>
        <w:jc w:val="both"/>
      </w:pPr>
      <w:r w:rsidRPr="003F5F8A">
        <w:t>leverage the lessons learned in the three years since the OTC ISIN was launched,</w:t>
      </w:r>
    </w:p>
    <w:p w:rsidRPr="003F5F8A" w:rsidR="00F73E49" w:rsidP="00AB4C9D" w:rsidRDefault="00F73E49" w14:paraId="02A23EA1" w14:textId="77777777">
      <w:pPr>
        <w:pStyle w:val="ListParagraph"/>
        <w:numPr>
          <w:ilvl w:val="0"/>
          <w:numId w:val="11"/>
        </w:numPr>
        <w:spacing w:line="276" w:lineRule="auto"/>
        <w:jc w:val="both"/>
      </w:pPr>
      <w:r w:rsidRPr="003F5F8A">
        <w:t>identify publicly available and validated data points and citations</w:t>
      </w:r>
    </w:p>
    <w:p w:rsidRPr="003F5F8A" w:rsidR="00F73E49" w:rsidP="00AB4C9D" w:rsidRDefault="00F73E49" w14:paraId="25496248" w14:textId="77777777">
      <w:pPr>
        <w:pStyle w:val="ListParagraph"/>
        <w:numPr>
          <w:ilvl w:val="0"/>
          <w:numId w:val="11"/>
        </w:numPr>
        <w:spacing w:line="276" w:lineRule="auto"/>
        <w:jc w:val="both"/>
      </w:pPr>
      <w:r w:rsidRPr="003F5F8A">
        <w:t xml:space="preserve">solicit regulatory feedback </w:t>
      </w:r>
    </w:p>
    <w:p w:rsidRPr="003F5F8A" w:rsidR="00F73E49" w:rsidP="00AB4C9D" w:rsidRDefault="00F73E49" w14:paraId="0B4C3C0E" w14:textId="77777777">
      <w:pPr>
        <w:pStyle w:val="ListParagraph"/>
        <w:numPr>
          <w:ilvl w:val="0"/>
          <w:numId w:val="11"/>
        </w:numPr>
        <w:spacing w:line="276" w:lineRule="auto"/>
        <w:jc w:val="both"/>
      </w:pPr>
      <w:r w:rsidRPr="003F5F8A">
        <w:t xml:space="preserve">obtain anecdotal market feedback </w:t>
      </w:r>
    </w:p>
    <w:p w:rsidR="00F73E49" w:rsidP="00AB4C9D" w:rsidRDefault="00F73E49" w14:paraId="06A88BAE" w14:textId="77777777">
      <w:pPr>
        <w:jc w:val="both"/>
      </w:pPr>
      <w:r w:rsidRPr="009F5C43">
        <w:t>As regulatory feedback is predicated on current user reporting practice</w:t>
      </w:r>
      <w:r>
        <w:t xml:space="preserve"> and is thus deemed to be the most accurate data source currently available</w:t>
      </w:r>
      <w:r w:rsidRPr="009F5C43">
        <w:t xml:space="preserve">, the DSB proposes to move forward </w:t>
      </w:r>
      <w:r>
        <w:t xml:space="preserve">with operational readiness predicated on an estimated range of organizations expected to use the DSB’s UPI service is expected to lie in the range between those previously forecast, and a lower range that more closely mirrors existing user interaction patterns. </w:t>
      </w:r>
    </w:p>
    <w:p w:rsidRPr="009F5C43" w:rsidR="00F73E49" w:rsidP="000C04DE" w:rsidRDefault="00F73E49" w14:paraId="0B03343B" w14:textId="77777777">
      <w:pPr>
        <w:spacing w:after="120"/>
        <w:jc w:val="both"/>
      </w:pPr>
      <w:r>
        <w:t xml:space="preserve">The lower threshold therefore would be predicated </w:t>
      </w:r>
      <w:r w:rsidRPr="009F5C43">
        <w:t>on the following assumptions</w:t>
      </w:r>
      <w:r>
        <w:t xml:space="preserve"> based on the assumption of 3,000 entity groups may become paid users of the DSB’s UPI service</w:t>
      </w:r>
      <w:r w:rsidRPr="009F5C43">
        <w:t xml:space="preserve">: </w:t>
      </w:r>
    </w:p>
    <w:p w:rsidR="009E610E" w:rsidP="00C16278" w:rsidRDefault="009E610E" w14:paraId="651CDB5A" w14:textId="77777777">
      <w:pPr>
        <w:spacing w:after="120"/>
        <w:jc w:val="both"/>
      </w:pPr>
      <w:r>
        <w:t>The lower threshold therefore shows:</w:t>
      </w:r>
    </w:p>
    <w:p w:rsidR="009E610E" w:rsidP="00FF24E6" w:rsidRDefault="009E610E" w14:paraId="1F17F785" w14:textId="77777777">
      <w:pPr>
        <w:pStyle w:val="ListParagraph"/>
        <w:numPr>
          <w:ilvl w:val="0"/>
          <w:numId w:val="11"/>
        </w:numPr>
        <w:jc w:val="both"/>
      </w:pPr>
      <w:r>
        <w:t xml:space="preserve">511 organizations representing 3.4k legal entities will pay to connect programmatically to create and/or search for UPI records </w:t>
      </w:r>
    </w:p>
    <w:p w:rsidR="009E610E" w:rsidP="001456B9" w:rsidRDefault="009E610E" w14:paraId="757F6B66" w14:textId="3899B20F">
      <w:pPr>
        <w:pStyle w:val="ListParagraph"/>
        <w:numPr>
          <w:ilvl w:val="0"/>
          <w:numId w:val="11"/>
        </w:numPr>
        <w:jc w:val="both"/>
      </w:pPr>
      <w:r>
        <w:t xml:space="preserve">2,437 organizations representing 16.3k legal entities will pay to connect manually to create UPI records </w:t>
      </w:r>
    </w:p>
    <w:p w:rsidR="009E610E" w:rsidP="001456B9" w:rsidRDefault="009E610E" w14:paraId="34483033" w14:textId="77777777">
      <w:pPr>
        <w:pStyle w:val="ListParagraph"/>
        <w:numPr>
          <w:ilvl w:val="0"/>
          <w:numId w:val="11"/>
        </w:numPr>
        <w:spacing w:after="0"/>
        <w:jc w:val="both"/>
      </w:pPr>
      <w:r>
        <w:t xml:space="preserve">17,200 organizations representing 115k legal entities will connect free of cost to search for and/or download UPI records </w:t>
      </w:r>
    </w:p>
    <w:p w:rsidRPr="003F5F8A" w:rsidR="00F73E49" w:rsidP="001456B9" w:rsidRDefault="009E610E" w14:paraId="74A5FE7B" w14:textId="07F7A68C">
      <w:pPr>
        <w:jc w:val="both"/>
      </w:pPr>
      <w:r>
        <w:t xml:space="preserve">i.e. approximately 20,200 entity groups representing 135,000 </w:t>
      </w:r>
      <w:r w:rsidR="00F73E49">
        <w:t xml:space="preserve">organizations that currently report data to trade repositories in at least 13 jurisdictions </w:t>
      </w:r>
    </w:p>
    <w:p w:rsidRPr="000349B7" w:rsidR="00F73E49" w:rsidP="001456B9" w:rsidRDefault="00F73E49" w14:paraId="1F20B39D" w14:textId="77777777">
      <w:pPr>
        <w:pStyle w:val="ETSNORMAL10pt"/>
        <w:spacing w:after="120" w:line="276" w:lineRule="auto"/>
        <w:ind w:left="0"/>
        <w:jc w:val="both"/>
        <w:rPr>
          <w:rFonts w:asciiTheme="minorHAnsi" w:hAnsiTheme="minorHAnsi" w:eastAsiaTheme="minorHAnsi" w:cstheme="minorBidi"/>
          <w:sz w:val="22"/>
          <w:szCs w:val="22"/>
          <w:lang w:val="en-GB"/>
        </w:rPr>
      </w:pPr>
      <w:r w:rsidRPr="000349B7">
        <w:rPr>
          <w:rFonts w:asciiTheme="minorHAnsi" w:hAnsiTheme="minorHAnsi" w:eastAsiaTheme="minorHAnsi" w:cstheme="minorBidi"/>
          <w:sz w:val="22"/>
          <w:szCs w:val="22"/>
          <w:lang w:val="en-GB"/>
        </w:rPr>
        <w:t>The upper bound of user estimates as in line with the proposal set out in the earlier prior consultation paper, and with which industry appears to be comfortable:</w:t>
      </w:r>
    </w:p>
    <w:p w:rsidRPr="001B71ED" w:rsidR="00F73E49" w:rsidP="000C04DE" w:rsidRDefault="00F73E49" w14:paraId="44975C7C" w14:textId="77777777">
      <w:pPr>
        <w:pStyle w:val="ListParagraph"/>
        <w:numPr>
          <w:ilvl w:val="0"/>
          <w:numId w:val="11"/>
        </w:numPr>
        <w:spacing w:line="276" w:lineRule="auto"/>
        <w:jc w:val="both"/>
      </w:pPr>
      <w:r w:rsidRPr="001B71ED">
        <w:t xml:space="preserve">12,000 organizations representing 80.5k legal entities will pay to connect programmatically </w:t>
      </w:r>
    </w:p>
    <w:p w:rsidRPr="001B71ED" w:rsidR="00F73E49" w:rsidP="000C04DE" w:rsidRDefault="00F73E49" w14:paraId="7DC3E1B3" w14:textId="77777777">
      <w:pPr>
        <w:pStyle w:val="ListParagraph"/>
        <w:numPr>
          <w:ilvl w:val="0"/>
          <w:numId w:val="11"/>
        </w:numPr>
        <w:spacing w:line="276" w:lineRule="auto"/>
        <w:jc w:val="both"/>
      </w:pPr>
      <w:r w:rsidRPr="001B71ED">
        <w:t xml:space="preserve">8,000 organizations representing 53k legal entities will pay to connect manually </w:t>
      </w:r>
    </w:p>
    <w:p w:rsidR="00F73E49" w:rsidP="00FF24E6" w:rsidRDefault="00F73E49" w14:paraId="5EB69C5E" w14:textId="77777777">
      <w:pPr>
        <w:pStyle w:val="ListParagraph"/>
        <w:numPr>
          <w:ilvl w:val="0"/>
          <w:numId w:val="11"/>
        </w:numPr>
        <w:spacing w:line="276" w:lineRule="auto"/>
        <w:jc w:val="both"/>
      </w:pPr>
      <w:r w:rsidRPr="001B71ED">
        <w:t xml:space="preserve">20,000 organizations representing 133.5k legal entities will connect free of cost  </w:t>
      </w:r>
    </w:p>
    <w:p w:rsidRPr="00075FF5" w:rsidR="00F73E49" w:rsidP="00F73E49" w:rsidRDefault="00F73E49" w14:paraId="1E99A43B" w14:textId="77777777">
      <w:pPr>
        <w:pStyle w:val="ETSNORMAL10pt"/>
        <w:spacing w:line="276" w:lineRule="auto"/>
        <w:rPr>
          <w:lang w:val="en-GB"/>
        </w:rPr>
      </w:pPr>
    </w:p>
    <w:p w:rsidRPr="00075FF5" w:rsidR="00844EBD" w:rsidP="00F73E49" w:rsidRDefault="00844EBD" w14:paraId="4813AE44" w14:textId="77777777">
      <w:pPr>
        <w:pStyle w:val="ETSNORMAL10pt"/>
        <w:spacing w:line="276" w:lineRule="auto"/>
        <w:rPr>
          <w:lang w:val="en-GB"/>
        </w:rPr>
      </w:pPr>
    </w:p>
    <w:p w:rsidR="00F73E49" w:rsidP="00F73E49" w:rsidRDefault="00185AC3" w14:paraId="073E3C5C" w14:textId="44F85E85">
      <w:pPr>
        <w:pStyle w:val="Heading2"/>
        <w:spacing w:before="0" w:line="276" w:lineRule="auto"/>
      </w:pPr>
      <w:bookmarkStart w:name="_Toc69801996" w:id="50"/>
      <w:bookmarkStart w:name="_Toc71369589" w:id="51"/>
      <w:bookmarkStart w:name="_Toc60651786" w:id="52"/>
      <w:bookmarkStart w:name="_Ref60652480" w:id="53"/>
      <w:bookmarkStart w:name="_Ref69723766" w:id="54"/>
      <w:r>
        <w:rPr>
          <w:noProof/>
          <w:lang w:eastAsia="en-GB"/>
        </w:rPr>
        <mc:AlternateContent>
          <mc:Choice Requires="wps">
            <w:drawing>
              <wp:anchor distT="45720" distB="45720" distL="114300" distR="114300" simplePos="0" relativeHeight="251658242" behindDoc="0" locked="0" layoutInCell="1" allowOverlap="1" wp14:anchorId="726310CF" wp14:editId="749DEF71">
                <wp:simplePos x="0" y="0"/>
                <wp:positionH relativeFrom="margin">
                  <wp:posOffset>-13335</wp:posOffset>
                </wp:positionH>
                <wp:positionV relativeFrom="paragraph">
                  <wp:posOffset>265430</wp:posOffset>
                </wp:positionV>
                <wp:extent cx="5716905" cy="2835910"/>
                <wp:effectExtent l="0" t="0" r="17145" b="215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2835910"/>
                        </a:xfrm>
                        <a:prstGeom prst="rect">
                          <a:avLst/>
                        </a:prstGeom>
                        <a:solidFill>
                          <a:srgbClr val="FFFFFF"/>
                        </a:solidFill>
                        <a:ln w="9525">
                          <a:solidFill>
                            <a:srgbClr val="04AEB9"/>
                          </a:solidFill>
                          <a:miter lim="800000"/>
                          <a:headEnd/>
                          <a:tailEnd/>
                        </a:ln>
                      </wps:spPr>
                      <wps:txbx>
                        <w:txbxContent>
                          <w:p w:rsidR="00185AC3" w:rsidP="001456B9" w:rsidRDefault="00185AC3" w14:paraId="36C0E330" w14:textId="77777777">
                            <w:pPr>
                              <w:pStyle w:val="paragraph"/>
                              <w:spacing w:before="240" w:beforeAutospacing="0" w:after="120" w:afterAutospacing="0" w:line="276" w:lineRule="auto"/>
                              <w:jc w:val="both"/>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r>
                              <w:rPr>
                                <w:rStyle w:val="normaltextrun"/>
                                <w:rFonts w:ascii="Calibri" w:hAnsi="Calibri" w:cs="Calibri"/>
                                <w:color w:val="000000"/>
                                <w:sz w:val="22"/>
                                <w:szCs w:val="22"/>
                              </w:rPr>
                              <w:t>The DSB anticipate</w:t>
                            </w:r>
                            <w:r w:rsidR="004E33B2">
                              <w:rPr>
                                <w:rStyle w:val="normaltextrun"/>
                                <w:rFonts w:ascii="Calibri" w:hAnsi="Calibri" w:cs="Calibri"/>
                                <w:color w:val="000000"/>
                                <w:sz w:val="22"/>
                                <w:szCs w:val="22"/>
                              </w:rPr>
                              <w:t xml:space="preserve">s </w:t>
                            </w:r>
                            <w:r>
                              <w:rPr>
                                <w:rStyle w:val="normaltextrun"/>
                                <w:rFonts w:ascii="Calibri" w:hAnsi="Calibri" w:cs="Calibri"/>
                                <w:color w:val="000000"/>
                                <w:sz w:val="22"/>
                                <w:szCs w:val="22"/>
                              </w:rPr>
                              <w:t xml:space="preserve">that users </w:t>
                            </w:r>
                            <w:r w:rsidR="004E33B2">
                              <w:rPr>
                                <w:rStyle w:val="normaltextrun"/>
                                <w:rFonts w:ascii="Calibri" w:hAnsi="Calibri" w:cs="Calibri"/>
                                <w:color w:val="000000"/>
                                <w:sz w:val="22"/>
                                <w:szCs w:val="22"/>
                              </w:rPr>
                              <w:t xml:space="preserve">will </w:t>
                            </w:r>
                            <w:r>
                              <w:rPr>
                                <w:rStyle w:val="normaltextrun"/>
                                <w:rFonts w:ascii="Calibri" w:hAnsi="Calibri" w:cs="Calibri"/>
                                <w:color w:val="000000"/>
                                <w:sz w:val="22"/>
                                <w:szCs w:val="22"/>
                              </w:rPr>
                              <w:t xml:space="preserve">require support for three types of workflows, subject to their regulatory needs. Some users will only require the ability to create, search for and/or download the UPI reference data record, whilst a second category may only require the ability to create, search for and/or download the OTC ISIN, and a third set of (likely global) participants are likely to have reporting needs that require either the UPI or the OTC ISIN, subject to their reporting jurisdiction.  </w:t>
                            </w:r>
                          </w:p>
                          <w:p w:rsidR="004E33B2" w:rsidP="001456B9" w:rsidRDefault="004E33B2" w14:paraId="20D882F4" w14:textId="77777777">
                            <w:pPr>
                              <w:pStyle w:val="paragraph"/>
                              <w:spacing w:before="240" w:beforeAutospacing="0" w:after="120" w:afterAutospacing="0" w:line="276" w:lineRule="auto"/>
                              <w:jc w:val="both"/>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Feedback from industry confirmed th</w:t>
                            </w:r>
                            <w:r w:rsidR="00036F88">
                              <w:rPr>
                                <w:rStyle w:val="normaltextrun"/>
                                <w:rFonts w:ascii="Calibri" w:hAnsi="Calibri" w:cs="Calibri"/>
                                <w:color w:val="000000"/>
                                <w:sz w:val="22"/>
                                <w:szCs w:val="22"/>
                              </w:rPr>
                              <w:t xml:space="preserve">e DSB’s </w:t>
                            </w:r>
                            <w:r>
                              <w:rPr>
                                <w:rStyle w:val="normaltextrun"/>
                                <w:rFonts w:ascii="Calibri" w:hAnsi="Calibri" w:cs="Calibri"/>
                                <w:color w:val="000000"/>
                                <w:sz w:val="22"/>
                                <w:szCs w:val="22"/>
                              </w:rPr>
                              <w:t xml:space="preserve">expectation, via both the consultation process and an additional user survey conducted in late March 2021. The DSB will therefore proceed with </w:t>
                            </w:r>
                            <w:r w:rsidR="00AC38C0">
                              <w:rPr>
                                <w:rStyle w:val="normaltextrun"/>
                                <w:rFonts w:ascii="Calibri" w:hAnsi="Calibri" w:cs="Calibri"/>
                                <w:color w:val="000000"/>
                                <w:sz w:val="22"/>
                                <w:szCs w:val="22"/>
                              </w:rPr>
                              <w:t>the provision of services on th</w:t>
                            </w:r>
                            <w:r w:rsidR="00F0162F">
                              <w:rPr>
                                <w:rStyle w:val="normaltextrun"/>
                                <w:rFonts w:ascii="Calibri" w:hAnsi="Calibri" w:cs="Calibri"/>
                                <w:color w:val="000000"/>
                                <w:sz w:val="22"/>
                                <w:szCs w:val="22"/>
                              </w:rPr>
                              <w:t xml:space="preserve">e basis set out above. </w:t>
                            </w:r>
                          </w:p>
                          <w:p w:rsidRPr="005318E3" w:rsidR="00C74AA4" w:rsidP="001456B9" w:rsidRDefault="00EC1D9A" w14:paraId="476F380D" w14:textId="4E0BF447">
                            <w:pPr>
                              <w:pStyle w:val="paragraph"/>
                              <w:spacing w:before="240" w:beforeAutospacing="0" w:after="120" w:afterAutospacing="0" w:line="276" w:lineRule="auto"/>
                              <w:jc w:val="both"/>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For questions on the proposal that </w:t>
                            </w:r>
                            <w:r w:rsidRPr="00A45873">
                              <w:rPr>
                                <w:rStyle w:val="normaltextrun"/>
                                <w:rFonts w:ascii="Calibri" w:hAnsi="Calibri" w:cs="Calibri"/>
                                <w:color w:val="000000"/>
                                <w:sz w:val="22"/>
                                <w:szCs w:val="22"/>
                              </w:rPr>
                              <w:t xml:space="preserve">that every OTC ISIN record would contain the UPI code </w:t>
                            </w:r>
                            <w:r>
                              <w:rPr>
                                <w:rStyle w:val="normaltextrun"/>
                                <w:rFonts w:ascii="Calibri" w:hAnsi="Calibri" w:cs="Calibri"/>
                                <w:color w:val="000000"/>
                                <w:sz w:val="22"/>
                                <w:szCs w:val="22"/>
                              </w:rPr>
                              <w:t>(but not the UPI reference data)</w:t>
                            </w:r>
                            <w:r w:rsidRPr="00A45873">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please see section 4.5, question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893CE59">
              <v:shape id="_x0000_s1027" style="position:absolute;left:0;text-align:left;margin-left:-1.05pt;margin-top:20.9pt;width:450.15pt;height:223.3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04aeb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" w14:anchorId="726310CF">
                <v:textbox>
                  <w:txbxContent>
                    <w:p w:rsidR="00185AC3" w:rsidP="001456B9" w:rsidRDefault="00185AC3" w14:paraId="75F34051" w14:textId="77777777">
                      <w:pPr>
                        <w:pStyle w:val="paragraph"/>
                        <w:spacing w:before="240" w:beforeAutospacing="0" w:after="120" w:afterAutospacing="0" w:line="276" w:lineRule="auto"/>
                        <w:jc w:val="both"/>
                        <w:textAlignment w:val="baseline"/>
                        <w:rPr>
                          <w:rStyle w:val="normaltextrun"/>
                          <w:rFonts w:ascii="Calibri" w:hAnsi="Calibri" w:cs="Calibri"/>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r>
                        <w:rPr>
                          <w:rStyle w:val="normaltextrun"/>
                          <w:rFonts w:ascii="Calibri" w:hAnsi="Calibri" w:cs="Calibri"/>
                          <w:color w:val="000000"/>
                          <w:sz w:val="22"/>
                          <w:szCs w:val="22"/>
                        </w:rPr>
                        <w:t>The DSB anticipate</w:t>
                      </w:r>
                      <w:r w:rsidR="004E33B2">
                        <w:rPr>
                          <w:rStyle w:val="normaltextrun"/>
                          <w:rFonts w:ascii="Calibri" w:hAnsi="Calibri" w:cs="Calibri"/>
                          <w:color w:val="000000"/>
                          <w:sz w:val="22"/>
                          <w:szCs w:val="22"/>
                        </w:rPr>
                        <w:t xml:space="preserve">s </w:t>
                      </w:r>
                      <w:r>
                        <w:rPr>
                          <w:rStyle w:val="normaltextrun"/>
                          <w:rFonts w:ascii="Calibri" w:hAnsi="Calibri" w:cs="Calibri"/>
                          <w:color w:val="000000"/>
                          <w:sz w:val="22"/>
                          <w:szCs w:val="22"/>
                        </w:rPr>
                        <w:t xml:space="preserve">that users </w:t>
                      </w:r>
                      <w:r w:rsidR="004E33B2">
                        <w:rPr>
                          <w:rStyle w:val="normaltextrun"/>
                          <w:rFonts w:ascii="Calibri" w:hAnsi="Calibri" w:cs="Calibri"/>
                          <w:color w:val="000000"/>
                          <w:sz w:val="22"/>
                          <w:szCs w:val="22"/>
                        </w:rPr>
                        <w:t xml:space="preserve">will </w:t>
                      </w:r>
                      <w:r>
                        <w:rPr>
                          <w:rStyle w:val="normaltextrun"/>
                          <w:rFonts w:ascii="Calibri" w:hAnsi="Calibri" w:cs="Calibri"/>
                          <w:color w:val="000000"/>
                          <w:sz w:val="22"/>
                          <w:szCs w:val="22"/>
                        </w:rPr>
                        <w:t xml:space="preserve">require support for three types of workflows, subject to their regulatory needs. Some users will only require the ability to create, search for and/or download the UPI reference data record, whilst a second category may only require the ability to create, search for and/or download the OTC ISIN, and a third set of (likely global) participants are likely to have reporting needs that require either the UPI or the OTC ISIN, subject to their reporting jurisdiction.  </w:t>
                      </w:r>
                    </w:p>
                    <w:p w:rsidR="004E33B2" w:rsidP="001456B9" w:rsidRDefault="004E33B2" w14:paraId="54640FEB" w14:textId="77777777">
                      <w:pPr>
                        <w:pStyle w:val="paragraph"/>
                        <w:spacing w:before="240" w:beforeAutospacing="0" w:after="120" w:afterAutospacing="0" w:line="276" w:lineRule="auto"/>
                        <w:jc w:val="both"/>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Feedback from industry confirmed th</w:t>
                      </w:r>
                      <w:r w:rsidR="00036F88">
                        <w:rPr>
                          <w:rStyle w:val="normaltextrun"/>
                          <w:rFonts w:ascii="Calibri" w:hAnsi="Calibri" w:cs="Calibri"/>
                          <w:color w:val="000000"/>
                          <w:sz w:val="22"/>
                          <w:szCs w:val="22"/>
                        </w:rPr>
                        <w:t xml:space="preserve">e DSB’s </w:t>
                      </w:r>
                      <w:r>
                        <w:rPr>
                          <w:rStyle w:val="normaltextrun"/>
                          <w:rFonts w:ascii="Calibri" w:hAnsi="Calibri" w:cs="Calibri"/>
                          <w:color w:val="000000"/>
                          <w:sz w:val="22"/>
                          <w:szCs w:val="22"/>
                        </w:rPr>
                        <w:t xml:space="preserve">expectation, via both the consultation process and an additional user survey conducted in late March 2021. The DSB will therefore proceed with </w:t>
                      </w:r>
                      <w:r w:rsidR="00AC38C0">
                        <w:rPr>
                          <w:rStyle w:val="normaltextrun"/>
                          <w:rFonts w:ascii="Calibri" w:hAnsi="Calibri" w:cs="Calibri"/>
                          <w:color w:val="000000"/>
                          <w:sz w:val="22"/>
                          <w:szCs w:val="22"/>
                        </w:rPr>
                        <w:t>the provision of services on th</w:t>
                      </w:r>
                      <w:r w:rsidR="00F0162F">
                        <w:rPr>
                          <w:rStyle w:val="normaltextrun"/>
                          <w:rFonts w:ascii="Calibri" w:hAnsi="Calibri" w:cs="Calibri"/>
                          <w:color w:val="000000"/>
                          <w:sz w:val="22"/>
                          <w:szCs w:val="22"/>
                        </w:rPr>
                        <w:t xml:space="preserve">e basis set out above. </w:t>
                      </w:r>
                    </w:p>
                    <w:p w:rsidRPr="005318E3" w:rsidR="00C74AA4" w:rsidP="001456B9" w:rsidRDefault="00EC1D9A" w14:paraId="61E215F4" w14:textId="4E0BF447">
                      <w:pPr>
                        <w:pStyle w:val="paragraph"/>
                        <w:spacing w:before="240" w:beforeAutospacing="0" w:after="120" w:afterAutospacing="0" w:line="276" w:lineRule="auto"/>
                        <w:jc w:val="both"/>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For questions on the proposal that </w:t>
                      </w:r>
                      <w:r w:rsidRPr="00A45873">
                        <w:rPr>
                          <w:rStyle w:val="normaltextrun"/>
                          <w:rFonts w:ascii="Calibri" w:hAnsi="Calibri" w:cs="Calibri"/>
                          <w:color w:val="000000"/>
                          <w:sz w:val="22"/>
                          <w:szCs w:val="22"/>
                        </w:rPr>
                        <w:t xml:space="preserve">that every OTC ISIN record would contain the UPI code </w:t>
                      </w:r>
                      <w:r>
                        <w:rPr>
                          <w:rStyle w:val="normaltextrun"/>
                          <w:rFonts w:ascii="Calibri" w:hAnsi="Calibri" w:cs="Calibri"/>
                          <w:color w:val="000000"/>
                          <w:sz w:val="22"/>
                          <w:szCs w:val="22"/>
                        </w:rPr>
                        <w:t>(but not the UPI reference data)</w:t>
                      </w:r>
                      <w:r w:rsidRPr="00A45873">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please see section 4.5, question 4.</w:t>
                      </w:r>
                    </w:p>
                  </w:txbxContent>
                </v:textbox>
                <w10:wrap type="square" anchorx="margin"/>
              </v:shape>
            </w:pict>
          </mc:Fallback>
        </mc:AlternateContent>
      </w:r>
      <w:r w:rsidR="00F73E49">
        <w:t>Forecast Workflow Support for Users</w:t>
      </w:r>
      <w:bookmarkEnd w:id="50"/>
      <w:bookmarkEnd w:id="51"/>
      <w:r w:rsidR="00F73E49">
        <w:t xml:space="preserve"> </w:t>
      </w:r>
      <w:bookmarkEnd w:id="52"/>
      <w:bookmarkEnd w:id="53"/>
      <w:bookmarkEnd w:id="54"/>
    </w:p>
    <w:p w:rsidR="00F73E49" w:rsidP="00AB4C9D" w:rsidRDefault="00F73E49" w14:paraId="799E4F7D" w14:textId="77777777">
      <w:pPr>
        <w:spacing w:before="240"/>
        <w:jc w:val="both"/>
        <w:rPr>
          <w:u w:val="single"/>
        </w:rPr>
      </w:pPr>
      <w:r>
        <w:rPr>
          <w:u w:val="single"/>
        </w:rPr>
        <w:t>Summary of Responses:</w:t>
      </w:r>
    </w:p>
    <w:p w:rsidR="00F73E49" w:rsidP="00AB4C9D" w:rsidRDefault="00F73E49" w14:paraId="495C65D8" w14:textId="77777777">
      <w:pPr>
        <w:jc w:val="both"/>
      </w:pPr>
      <w:r>
        <w:t xml:space="preserve">The prior consultation paper presented three different data requirement scenarios, subject to users’ regulatory needs - (i) UPI only, (ii) OTC ISIN/CFI only, and (iii) OTC ISIN/UPI/CFI in a single data set. 67% of respondents concurred with the DSB’s proposal in its existing form noting that the proposal to support all three requirements offered all market participants sufficient flexibility to be self-deterministic in their approach. </w:t>
      </w:r>
    </w:p>
    <w:p w:rsidR="00F73E49" w:rsidP="00AB4C9D" w:rsidRDefault="00F73E49" w14:paraId="78BBFDFC" w14:textId="77777777">
      <w:pPr>
        <w:jc w:val="both"/>
      </w:pPr>
      <w:r>
        <w:t xml:space="preserve">One respondent noted that while (i) and (ii) above would serve a total of 50% of the eventual DSB user base, the firm expected that (iii) would be required by 100% of DSB users, while others noted that they believe each of the three scenarios must be catered for to meet users’ individual needs. There were no responses indicating or stating that respondents had concerns with the proposition put forward by the DSB. </w:t>
      </w:r>
    </w:p>
    <w:p w:rsidRPr="00391B38" w:rsidR="00F73E49" w:rsidP="00AB4C9D" w:rsidRDefault="00F73E49" w14:paraId="5F0BA9AD" w14:textId="77777777">
      <w:pPr>
        <w:jc w:val="both"/>
        <w:rPr>
          <w:bCs/>
          <w:u w:val="single"/>
        </w:rPr>
      </w:pPr>
      <w:r w:rsidRPr="00391B38">
        <w:rPr>
          <w:bCs/>
          <w:u w:val="single"/>
        </w:rPr>
        <w:t>DSB Proposal:</w:t>
      </w:r>
    </w:p>
    <w:p w:rsidRPr="003F5F8A" w:rsidR="00F73E49" w:rsidP="00AB4C9D" w:rsidRDefault="00F73E49" w14:paraId="5D7938DF" w14:textId="77777777">
      <w:pPr>
        <w:spacing w:after="0"/>
        <w:jc w:val="both"/>
      </w:pPr>
      <w:r>
        <w:t>In the prior consultation, t</w:t>
      </w:r>
      <w:r w:rsidRPr="009F5C43">
        <w:t>he DSB anticipate</w:t>
      </w:r>
      <w:r>
        <w:t>d</w:t>
      </w:r>
      <w:r w:rsidRPr="009F5C43">
        <w:t xml:space="preserve"> that following launch of the UPI service, users will connect to the DSB service to support one of three needs</w:t>
      </w:r>
      <w:r w:rsidRPr="003F5F8A">
        <w:t xml:space="preserve">: </w:t>
      </w:r>
    </w:p>
    <w:p w:rsidRPr="003F5F8A" w:rsidR="00F73E49" w:rsidP="00AB4C9D" w:rsidRDefault="00F73E49" w14:paraId="0E87B9DA" w14:textId="03441CDB">
      <w:pPr>
        <w:pStyle w:val="ListParagraph"/>
        <w:numPr>
          <w:ilvl w:val="0"/>
          <w:numId w:val="11"/>
        </w:numPr>
        <w:spacing w:line="276" w:lineRule="auto"/>
        <w:jc w:val="both"/>
      </w:pPr>
      <w:r w:rsidRPr="003F5F8A">
        <w:t xml:space="preserve">Organizations that only require access to the UPI </w:t>
      </w:r>
      <w:r>
        <w:t xml:space="preserve">code </w:t>
      </w:r>
      <w:r w:rsidRPr="003F5F8A">
        <w:t xml:space="preserve">and the UPI reference data record </w:t>
      </w:r>
      <w:r>
        <w:t>(in the remainder of the paper referred to as “UPI record”)</w:t>
      </w:r>
      <w:r w:rsidRPr="00723361">
        <w:t xml:space="preserve"> </w:t>
      </w:r>
      <w:r w:rsidRPr="003F5F8A">
        <w:t>containing all input and derived data elements associated with the UPI</w:t>
      </w:r>
    </w:p>
    <w:p w:rsidRPr="003F5F8A" w:rsidR="00F73E49" w:rsidP="00AB4C9D" w:rsidRDefault="00F73E49" w14:paraId="07F196D2" w14:textId="77777777">
      <w:pPr>
        <w:pStyle w:val="ListParagraph"/>
        <w:numPr>
          <w:ilvl w:val="0"/>
          <w:numId w:val="11"/>
        </w:numPr>
        <w:spacing w:line="276" w:lineRule="auto"/>
        <w:jc w:val="both"/>
      </w:pPr>
      <w:r w:rsidRPr="003F5F8A">
        <w:t xml:space="preserve">Organizations that only require access to the OTC ISIN, CFI and FISN and the OTC ISIN reference data record (the current DSB service) </w:t>
      </w:r>
      <w:r>
        <w:t xml:space="preserve"> (in the remainder of the paper referred  to as “OTC ISIN record”)</w:t>
      </w:r>
      <w:r w:rsidRPr="00723361">
        <w:t xml:space="preserve"> </w:t>
      </w:r>
      <w:r w:rsidRPr="003F5F8A">
        <w:t xml:space="preserve">containing all input and derived data elements associated with the OTC ISIN  </w:t>
      </w:r>
    </w:p>
    <w:p w:rsidRPr="003F5F8A" w:rsidR="00F73E49" w:rsidP="00AB4C9D" w:rsidRDefault="00F73E49" w14:paraId="5A33B9B9" w14:textId="3D5B65BE">
      <w:pPr>
        <w:pStyle w:val="ListParagraph"/>
        <w:numPr>
          <w:ilvl w:val="0"/>
          <w:numId w:val="11"/>
        </w:numPr>
        <w:spacing w:line="276" w:lineRule="auto"/>
        <w:jc w:val="both"/>
      </w:pPr>
      <w:r w:rsidRPr="003F5F8A">
        <w:t>Organizations that require access to the full suite of UPI</w:t>
      </w:r>
      <w:r w:rsidRPr="003F5F8A" w:rsidR="005C3A85">
        <w:t>,</w:t>
      </w:r>
      <w:r>
        <w:t xml:space="preserve"> (code and record)</w:t>
      </w:r>
      <w:r w:rsidRPr="003F5F8A">
        <w:t xml:space="preserve"> CFI, FISN, and OTC ISIN in light of their global footprint and the commensurate diversity of reporting needs</w:t>
      </w:r>
      <w:r w:rsidRPr="003F5F8A" w:rsidR="005C3A85">
        <w:t xml:space="preserve"> </w:t>
      </w:r>
      <w:r>
        <w:t xml:space="preserve">, that </w:t>
      </w:r>
      <w:r w:rsidRPr="003F5F8A">
        <w:t xml:space="preserve">would obtain </w:t>
      </w:r>
      <w:r w:rsidRPr="003F5F8A">
        <w:rPr>
          <w:rFonts w:eastAsia="Times New Roman"/>
          <w:color w:val="000000"/>
          <w:lang w:eastAsia="en-GB"/>
        </w:rPr>
        <w:t>all the input and derived data elements that define each of the UPI, CFI and OTC ISIN</w:t>
      </w:r>
    </w:p>
    <w:p w:rsidRPr="009F5C43" w:rsidR="00F73E49" w:rsidP="00AB4C9D" w:rsidRDefault="00F73E49" w14:paraId="0D68DA55" w14:textId="2004F8F9">
      <w:pPr>
        <w:jc w:val="both"/>
      </w:pPr>
      <w:r>
        <w:t>Given the strict data hierarchy that is expected to prevail across the CFI, UPI and OTC ISIN, t</w:t>
      </w:r>
      <w:r w:rsidRPr="003F5F8A">
        <w:t xml:space="preserve">he DSB </w:t>
      </w:r>
      <w:r>
        <w:t>proposed t</w:t>
      </w:r>
      <w:r w:rsidRPr="003F5F8A">
        <w:t xml:space="preserve">hat every </w:t>
      </w:r>
      <w:r w:rsidRPr="00723361">
        <w:t>OTC ISIN record would contain the UPI code as part of the OTC ISIN record itself, where the user requested the CFI, UPI and OTC ISIN as part of a single message</w:t>
      </w:r>
      <w:r>
        <w:t xml:space="preserve">. </w:t>
      </w:r>
      <w:r w:rsidRPr="003F5F8A">
        <w:t>S</w:t>
      </w:r>
      <w:r w:rsidRPr="009F5C43">
        <w:t xml:space="preserve">imilarly, the UPI record </w:t>
      </w:r>
      <w:r>
        <w:t xml:space="preserve">is proposed </w:t>
      </w:r>
      <w:r w:rsidRPr="009F5C43">
        <w:t xml:space="preserve">to contain a FISN and a CFI code. </w:t>
      </w:r>
      <w:r>
        <w:t xml:space="preserve">Details regarding the cost allocation methodology for the service are set out in section </w:t>
      </w:r>
      <w:r w:rsidR="005C3A85">
        <w:fldChar w:fldCharType="begin"/>
      </w:r>
      <w:r w:rsidR="005C3A85">
        <w:instrText xml:space="preserve"> REF _Ref60925902 \r \h </w:instrText>
      </w:r>
      <w:r w:rsidR="005C3A85">
        <w:fldChar w:fldCharType="separate"/>
      </w:r>
      <w:r w:rsidR="005C3A85">
        <w:t>5.5</w:t>
      </w:r>
      <w:r w:rsidR="005C3A85">
        <w:fldChar w:fldCharType="end"/>
      </w:r>
      <w:r w:rsidR="005C3A85">
        <w:t>.</w:t>
      </w:r>
      <w:r>
        <w:t xml:space="preserve"> </w:t>
      </w:r>
      <w:r w:rsidRPr="009F5C43">
        <w:t xml:space="preserve">  </w:t>
      </w:r>
    </w:p>
    <w:p w:rsidR="00F73E49" w:rsidP="00AB4C9D" w:rsidRDefault="00F73E49" w14:paraId="3FE5BD49" w14:textId="1F05D040">
      <w:pPr>
        <w:spacing w:after="120"/>
        <w:jc w:val="both"/>
      </w:pPr>
      <w:bookmarkStart w:name="_Toc13087135" w:id="55"/>
      <w:bookmarkStart w:name="_Toc38842408" w:id="56"/>
      <w:r>
        <w:t xml:space="preserve">In addition, the DSB acknowledges the associated feedback provided regarding the impact of such a structure on future data licensing agreements and related fees for the UPI so that users only pay for the identifiers they require. A further update will be provided in the final consultation report following a discussion with the TAC regarding the impact on the proposed workflow structure, as well as during the course of the legal agreement consultation to be held in Q4 2021. </w:t>
      </w:r>
    </w:p>
    <w:p w:rsidR="00F73E49" w:rsidP="00AB4C9D" w:rsidRDefault="00F73E49" w14:paraId="6B9B771A" w14:textId="379736DB">
      <w:pPr>
        <w:spacing w:after="120"/>
        <w:jc w:val="both"/>
      </w:pPr>
      <w:r>
        <w:t xml:space="preserve">The DSB has acknowledged the feedback regarding </w:t>
      </w:r>
      <w:r w:rsidR="00835C1B">
        <w:t xml:space="preserve">the need for </w:t>
      </w:r>
      <w:r>
        <w:t>provision of an ‘OTC ISIN/CFI only’ service, in addition to a UPI only, and a combined OTC ISIN/CFI and UPI service.  In determining the content of the end of day file for the OTC ISIN/CFI service, several of the factors outlined above have to be balanced.</w:t>
      </w:r>
    </w:p>
    <w:p w:rsidR="00F73E49" w:rsidP="00AB4C9D" w:rsidRDefault="00F73E49" w14:paraId="46351BA1" w14:textId="77777777">
      <w:pPr>
        <w:spacing w:after="120"/>
        <w:jc w:val="both"/>
      </w:pPr>
      <w:r>
        <w:t>For the content of the OTC ISIN/CFI end of day file, the decision to propose including the UPI code within the ISIN record required several factors to be weighed up and balanced, some of which are outlined below:</w:t>
      </w:r>
    </w:p>
    <w:p w:rsidR="00F73E49" w:rsidP="00AB4C9D" w:rsidRDefault="00F73E49" w14:paraId="7E71BAA3" w14:textId="77777777">
      <w:pPr>
        <w:pStyle w:val="ListParagraph"/>
        <w:numPr>
          <w:ilvl w:val="0"/>
          <w:numId w:val="32"/>
        </w:numPr>
        <w:spacing w:after="360" w:line="276" w:lineRule="auto"/>
        <w:jc w:val="both"/>
      </w:pPr>
      <w:r>
        <w:t>The number of entities which might leverage the UPI code for free as part of the OTC ISIN record (and therefore avoid having to pay for the UPI record service) is deemed to be low, in that it will likely be a subset of the existing OTC ISIN service user-base (i.e. subset of ~130 users)</w:t>
      </w:r>
    </w:p>
    <w:p w:rsidR="00F73E49" w:rsidP="00AB4C9D" w:rsidRDefault="00F73E49" w14:paraId="6C120688" w14:textId="77777777">
      <w:pPr>
        <w:pStyle w:val="ListParagraph"/>
        <w:numPr>
          <w:ilvl w:val="0"/>
          <w:numId w:val="32"/>
        </w:numPr>
        <w:spacing w:after="360" w:line="276" w:lineRule="auto"/>
        <w:jc w:val="both"/>
      </w:pPr>
      <w:r>
        <w:t>The user fee levels (estimates detailed in section 4.4) are projected to be significantly lower than for the OTC ISIN service, and as such would provide a lower bar to paid user access (i.e. less incentive to try a manual workaround to avoid paid UPI access)</w:t>
      </w:r>
    </w:p>
    <w:p w:rsidR="00F73E49" w:rsidP="00AB4C9D" w:rsidRDefault="00F73E49" w14:paraId="0A919169" w14:textId="77777777">
      <w:pPr>
        <w:pStyle w:val="ListParagraph"/>
        <w:numPr>
          <w:ilvl w:val="0"/>
          <w:numId w:val="32"/>
        </w:numPr>
        <w:spacing w:after="360" w:line="276" w:lineRule="auto"/>
        <w:jc w:val="both"/>
      </w:pPr>
      <w:r>
        <w:t>The UPI code and OTC ISIN record combined are not anticipated to contain all of the elements required to build a timely UPI record (i.e. maintaining demand for the UPI record)</w:t>
      </w:r>
    </w:p>
    <w:p w:rsidR="00F73E49" w:rsidP="00AB4C9D" w:rsidRDefault="00F73E49" w14:paraId="0D842251" w14:textId="77777777">
      <w:pPr>
        <w:pStyle w:val="ListParagraph"/>
        <w:numPr>
          <w:ilvl w:val="0"/>
          <w:numId w:val="32"/>
        </w:numPr>
        <w:spacing w:after="360" w:line="276" w:lineRule="auto"/>
        <w:jc w:val="both"/>
      </w:pPr>
      <w:r>
        <w:t>The UPI record is anticipated to be enriched versus the OTC ISIN record, again maintaining demand for the (paid) UPI record service</w:t>
      </w:r>
    </w:p>
    <w:p w:rsidR="00F73E49" w:rsidP="00AB4C9D" w:rsidRDefault="00F73E49" w14:paraId="2125479B" w14:textId="74B49C55">
      <w:pPr>
        <w:pStyle w:val="ListParagraph"/>
        <w:numPr>
          <w:ilvl w:val="0"/>
          <w:numId w:val="32"/>
        </w:numPr>
        <w:spacing w:after="120" w:line="276" w:lineRule="auto"/>
        <w:contextualSpacing w:val="0"/>
        <w:jc w:val="both"/>
      </w:pPr>
      <w:r>
        <w:t xml:space="preserve">Having access to the UPI code (but not to the whole UPI “record”) within the OTC ISIN record at 23.55hrs UTC, T+0 attempts to balance the respondents’ preference for accessing (free) UPI data as soon as possible, while supporting the financial sustainability of the UPI service and maintaining fair access across </w:t>
      </w:r>
      <w:r w:rsidR="0092114E">
        <w:t xml:space="preserve">the UPI </w:t>
      </w:r>
      <w:r w:rsidR="00557C2B">
        <w:t>user</w:t>
      </w:r>
      <w:r w:rsidR="0092114E">
        <w:t xml:space="preserve"> base irrespective of </w:t>
      </w:r>
      <w:r w:rsidR="00095136">
        <w:t>juri</w:t>
      </w:r>
      <w:r w:rsidR="00E37C82">
        <w:t>sdiction</w:t>
      </w:r>
      <w:r w:rsidR="00352732">
        <w:t>.</w:t>
      </w:r>
      <w:r>
        <w:t xml:space="preserve">     </w:t>
      </w:r>
    </w:p>
    <w:p w:rsidR="00F73E49" w:rsidP="00AB4C9D" w:rsidRDefault="00F73E49" w14:paraId="2E38D868" w14:textId="77777777">
      <w:pPr>
        <w:spacing w:after="120"/>
        <w:jc w:val="both"/>
      </w:pPr>
      <w:r>
        <w:t xml:space="preserve">In terms of timing for the various data elements to be made available (which will be discussed in further detail in section 4.5) it is proposed that the OTC ISIN / CFI end of day file (containing the OTC ISIN record and UPI code) will continue to be made available 23.55hrs UTC, T+0.  </w:t>
      </w:r>
    </w:p>
    <w:p w:rsidR="005D1E1B" w:rsidP="00232460" w:rsidRDefault="00F73E49" w14:paraId="12B5537C" w14:textId="7256D6FD">
      <w:pPr>
        <w:spacing w:after="360"/>
        <w:jc w:val="both"/>
        <w:rPr>
          <w:rFonts w:asciiTheme="majorHAnsi" w:hAnsiTheme="majorHAnsi" w:eastAsiaTheme="majorEastAsia" w:cstheme="majorBidi"/>
          <w:color w:val="365F91" w:themeColor="accent1" w:themeShade="BF"/>
          <w:sz w:val="26"/>
          <w:szCs w:val="26"/>
          <w:lang w:val="en-GB"/>
        </w:rPr>
      </w:pPr>
      <w:r>
        <w:t xml:space="preserve">Per above, this will include the UPI code but not the UPI reference data, in accordance with respondents’ feedback requesting free availability of UPI code on T+0 (i.e. 23.55hrs UTC, T+0).  The full UPI record (UPI code and UPI reference data) would be made freely available at T+1 23.55hrs UTC, with the primary goals of operating a structure which will be supportive of the financial sustainability of the UPI service, providing a fair service for all jurisdictions, and ensuring adequate demand for the three user scenarios laid out above.  </w:t>
      </w:r>
      <w:bookmarkStart w:name="_Toc60651787" w:id="57"/>
      <w:bookmarkStart w:name="_Ref60652484" w:id="58"/>
      <w:bookmarkStart w:name="_Toc69801997" w:id="59"/>
      <w:bookmarkEnd w:id="55"/>
      <w:bookmarkEnd w:id="56"/>
      <w:r w:rsidR="005D1E1B">
        <w:br w:type="page"/>
      </w:r>
    </w:p>
    <w:p w:rsidRPr="000B5DAB" w:rsidR="00170EFC" w:rsidP="000361A1" w:rsidRDefault="002B4142" w14:paraId="663F1BA8" w14:textId="149CD555">
      <w:pPr>
        <w:pStyle w:val="Heading2"/>
        <w:spacing w:before="0" w:line="276" w:lineRule="auto"/>
        <w:rPr>
          <w:u w:val="single"/>
        </w:rPr>
      </w:pPr>
      <w:bookmarkStart w:name="_Toc71369590" w:id="60"/>
      <w:r>
        <w:rPr>
          <w:noProof/>
          <w:lang w:eastAsia="en-GB"/>
        </w:rPr>
        <mc:AlternateContent>
          <mc:Choice Requires="wps">
            <w:drawing>
              <wp:anchor distT="45720" distB="45720" distL="114300" distR="114300" simplePos="0" relativeHeight="251658249" behindDoc="0" locked="0" layoutInCell="1" allowOverlap="1" wp14:anchorId="1D3B368C" wp14:editId="45B9F010">
                <wp:simplePos x="0" y="0"/>
                <wp:positionH relativeFrom="margin">
                  <wp:posOffset>0</wp:posOffset>
                </wp:positionH>
                <wp:positionV relativeFrom="paragraph">
                  <wp:posOffset>304800</wp:posOffset>
                </wp:positionV>
                <wp:extent cx="5716905" cy="5482590"/>
                <wp:effectExtent l="0" t="0" r="17145" b="228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5482590"/>
                        </a:xfrm>
                        <a:prstGeom prst="rect">
                          <a:avLst/>
                        </a:prstGeom>
                        <a:solidFill>
                          <a:srgbClr val="FFFFFF"/>
                        </a:solidFill>
                        <a:ln w="9525">
                          <a:solidFill>
                            <a:srgbClr val="04AEB9"/>
                          </a:solidFill>
                          <a:miter lim="800000"/>
                          <a:headEnd/>
                          <a:tailEnd/>
                        </a:ln>
                      </wps:spPr>
                      <wps:txbx>
                        <w:txbxContent>
                          <w:p w:rsidR="00737573" w:rsidP="001456B9" w:rsidRDefault="00737573" w14:paraId="1B5988CD" w14:textId="34E9B652">
                            <w:pPr>
                              <w:pStyle w:val="paragraph"/>
                              <w:spacing w:before="240" w:beforeAutospacing="0" w:after="120" w:afterAutospacing="0" w:line="276" w:lineRule="auto"/>
                              <w:jc w:val="both"/>
                              <w:textAlignment w:val="baseline"/>
                              <w:rPr>
                                <w:rStyle w:val="normaltextrun"/>
                                <w:rFonts w:ascii="Calibri" w:hAnsi="Calibri" w:cs="Calibri"/>
                                <w:bCs/>
                                <w:color w:val="000000"/>
                                <w:sz w:val="22"/>
                                <w:szCs w:val="22"/>
                              </w:rPr>
                            </w:pPr>
                            <w:r w:rsidRPr="000B0101">
                              <w:rPr>
                                <w:rStyle w:val="normaltextrun"/>
                                <w:rFonts w:ascii="Calibri" w:hAnsi="Calibri" w:cs="Calibri"/>
                                <w:b/>
                                <w:bCs/>
                                <w:color w:val="000000"/>
                                <w:sz w:val="22"/>
                                <w:szCs w:val="22"/>
                              </w:rPr>
                              <w:t>Summary</w:t>
                            </w:r>
                            <w:r w:rsidRPr="000B0101">
                              <w:rPr>
                                <w:rStyle w:val="normaltextrun"/>
                                <w:rFonts w:ascii="Calibri" w:hAnsi="Calibri" w:cs="Calibri"/>
                                <w:b/>
                                <w:color w:val="000000"/>
                                <w:sz w:val="22"/>
                                <w:szCs w:val="22"/>
                              </w:rPr>
                              <w:t xml:space="preserve">: </w:t>
                            </w:r>
                            <w:r w:rsidRPr="000B0101">
                              <w:rPr>
                                <w:rStyle w:val="normaltextrun"/>
                                <w:rFonts w:ascii="Calibri" w:hAnsi="Calibri" w:cs="Calibri"/>
                                <w:bCs/>
                                <w:color w:val="000000"/>
                                <w:sz w:val="22"/>
                                <w:szCs w:val="22"/>
                              </w:rPr>
                              <w:t xml:space="preserve">The DSB </w:t>
                            </w:r>
                            <w:r>
                              <w:rPr>
                                <w:rStyle w:val="normaltextrun"/>
                                <w:rFonts w:ascii="Calibri" w:hAnsi="Calibri" w:cs="Calibri"/>
                                <w:bCs/>
                                <w:color w:val="000000"/>
                                <w:sz w:val="22"/>
                                <w:szCs w:val="22"/>
                              </w:rPr>
                              <w:t xml:space="preserve">is evaluating the additional data access mechanisms requested by respondents to the first consultation and proposes to follow up with feedback from the </w:t>
                            </w:r>
                            <w:r w:rsidR="008C2611">
                              <w:rPr>
                                <w:rStyle w:val="normaltextrun"/>
                                <w:rFonts w:ascii="Calibri" w:hAnsi="Calibri" w:cs="Calibri"/>
                                <w:bCs/>
                                <w:color w:val="000000"/>
                                <w:sz w:val="22"/>
                                <w:szCs w:val="22"/>
                              </w:rPr>
                              <w:t xml:space="preserve">DSB </w:t>
                            </w:r>
                            <w:r>
                              <w:rPr>
                                <w:rStyle w:val="normaltextrun"/>
                                <w:rFonts w:ascii="Calibri" w:hAnsi="Calibri" w:cs="Calibri"/>
                                <w:bCs/>
                                <w:color w:val="000000"/>
                                <w:sz w:val="22"/>
                                <w:szCs w:val="22"/>
                              </w:rPr>
                              <w:t xml:space="preserve">Technology Advisory Committee (TAC) once their review has completed, with an update to be provided in the UPI </w:t>
                            </w:r>
                            <w:r w:rsidR="00D233E0">
                              <w:rPr>
                                <w:rStyle w:val="normaltextrun"/>
                                <w:rFonts w:ascii="Calibri" w:hAnsi="Calibri" w:cs="Calibri"/>
                                <w:bCs/>
                                <w:color w:val="000000"/>
                                <w:sz w:val="22"/>
                                <w:szCs w:val="22"/>
                              </w:rPr>
                              <w:t>Consultation Final Report</w:t>
                            </w:r>
                            <w:r>
                              <w:rPr>
                                <w:rStyle w:val="normaltextrun"/>
                                <w:rFonts w:ascii="Calibri" w:hAnsi="Calibri" w:cs="Calibri"/>
                                <w:bCs/>
                                <w:color w:val="000000"/>
                                <w:sz w:val="22"/>
                                <w:szCs w:val="22"/>
                              </w:rPr>
                              <w:t xml:space="preserve">. </w:t>
                            </w:r>
                          </w:p>
                          <w:p w:rsidRPr="00470DF3" w:rsidR="00737573" w:rsidP="001456B9" w:rsidRDefault="00737573" w14:paraId="54E1DCDE" w14:textId="18EF088E">
                            <w:pPr>
                              <w:pStyle w:val="paragraph"/>
                              <w:spacing w:before="0" w:beforeAutospacing="0" w:after="120" w:afterAutospacing="0" w:line="276" w:lineRule="auto"/>
                              <w:jc w:val="both"/>
                              <w:textAlignment w:val="baseline"/>
                              <w:rPr>
                                <w:rStyle w:val="normaltextrun"/>
                                <w:rFonts w:ascii="Calibri" w:hAnsi="Calibri" w:cs="Calibri"/>
                                <w:bCs/>
                                <w:color w:val="000000"/>
                                <w:sz w:val="22"/>
                                <w:szCs w:val="22"/>
                              </w:rPr>
                            </w:pPr>
                            <w:r>
                              <w:rPr>
                                <w:rStyle w:val="normaltextrun"/>
                                <w:rFonts w:ascii="Calibri" w:hAnsi="Calibri" w:cs="Calibri"/>
                                <w:bCs/>
                                <w:color w:val="000000"/>
                                <w:sz w:val="22"/>
                                <w:szCs w:val="22"/>
                              </w:rPr>
                              <w:t xml:space="preserve">At this time the DSB believes that users will be able to access the </w:t>
                            </w:r>
                            <w:r w:rsidR="008C2611">
                              <w:rPr>
                                <w:rStyle w:val="normaltextrun"/>
                                <w:rFonts w:ascii="Calibri" w:hAnsi="Calibri" w:cs="Calibri"/>
                                <w:bCs/>
                                <w:color w:val="000000"/>
                                <w:sz w:val="22"/>
                                <w:szCs w:val="22"/>
                              </w:rPr>
                              <w:t xml:space="preserve">UPI </w:t>
                            </w:r>
                            <w:r>
                              <w:rPr>
                                <w:rStyle w:val="normaltextrun"/>
                                <w:rFonts w:ascii="Calibri" w:hAnsi="Calibri" w:cs="Calibri"/>
                                <w:bCs/>
                                <w:color w:val="000000"/>
                                <w:sz w:val="22"/>
                                <w:szCs w:val="22"/>
                              </w:rPr>
                              <w:t xml:space="preserve">service using one or more </w:t>
                            </w:r>
                            <w:r w:rsidRPr="00470DF3">
                              <w:rPr>
                                <w:rStyle w:val="normaltextrun"/>
                                <w:rFonts w:ascii="Calibri" w:hAnsi="Calibri" w:cs="Calibri"/>
                                <w:bCs/>
                                <w:color w:val="000000"/>
                                <w:sz w:val="22"/>
                                <w:szCs w:val="22"/>
                              </w:rPr>
                              <w:t xml:space="preserve">of the following mechanisms: </w:t>
                            </w:r>
                          </w:p>
                          <w:p w:rsidRPr="008E271F" w:rsidR="00737573" w:rsidP="00C513D8" w:rsidRDefault="00737573" w14:paraId="77E30A8F" w14:textId="77777777">
                            <w:pPr>
                              <w:spacing w:after="0"/>
                              <w:jc w:val="both"/>
                              <w:rPr>
                                <w:rStyle w:val="normaltextrun"/>
                                <w:rFonts w:ascii="Times New Roman" w:hAnsi="Times New Roman" w:cstheme="minorHAnsi"/>
                                <w:bCs/>
                                <w:color w:val="000000"/>
                                <w:sz w:val="24"/>
                                <w:szCs w:val="24"/>
                                <w:lang w:val="en-GB" w:eastAsia="en-GB"/>
                              </w:rPr>
                            </w:pPr>
                            <w:r>
                              <w:rPr>
                                <w:rStyle w:val="normaltextrun"/>
                                <w:rFonts w:cstheme="minorHAnsi"/>
                                <w:bCs/>
                                <w:color w:val="000000"/>
                              </w:rPr>
                              <w:t>Fee Paying:</w:t>
                            </w:r>
                          </w:p>
                          <w:p w:rsidRPr="008C726A" w:rsidR="00737573" w:rsidP="003B5844" w:rsidRDefault="00737573" w14:paraId="5C190EF4" w14:textId="77777777">
                            <w:pPr>
                              <w:pStyle w:val="paragraph"/>
                              <w:numPr>
                                <w:ilvl w:val="0"/>
                                <w:numId w:val="44"/>
                              </w:numPr>
                              <w:spacing w:before="0" w:beforeAutospacing="0" w:after="0" w:afterAutospacing="0" w:line="276" w:lineRule="auto"/>
                              <w:jc w:val="both"/>
                              <w:textAlignment w:val="baseline"/>
                              <w:rPr>
                                <w:rStyle w:val="normaltextrun"/>
                                <w:rFonts w:asciiTheme="minorHAnsi" w:hAnsiTheme="minorHAnsi" w:eastAsiaTheme="minorEastAsia" w:cstheme="minorHAnsi"/>
                                <w:bCs/>
                                <w:color w:val="000000"/>
                                <w:sz w:val="22"/>
                                <w:szCs w:val="22"/>
                                <w:lang w:val="en-US" w:eastAsia="en-US"/>
                              </w:rPr>
                            </w:pPr>
                            <w:r w:rsidRPr="00C11FE7">
                              <w:rPr>
                                <w:rStyle w:val="normaltextrun"/>
                                <w:rFonts w:asciiTheme="minorHAnsi" w:hAnsiTheme="minorHAnsi" w:cstheme="minorHAnsi"/>
                                <w:bCs/>
                                <w:color w:val="000000"/>
                                <w:sz w:val="22"/>
                                <w:szCs w:val="22"/>
                              </w:rPr>
                              <w:t>Power User</w:t>
                            </w:r>
                            <w:r w:rsidRPr="008C726A">
                              <w:rPr>
                                <w:rStyle w:val="normaltextrun"/>
                                <w:rFonts w:asciiTheme="minorHAnsi" w:hAnsiTheme="minorHAnsi" w:cstheme="minorHAnsi"/>
                                <w:bCs/>
                                <w:color w:val="000000"/>
                                <w:sz w:val="22"/>
                                <w:szCs w:val="22"/>
                              </w:rPr>
                              <w:t xml:space="preserve"> - Full Programmatic Access - Programmatically connect to create, search for and download data</w:t>
                            </w:r>
                            <w:r w:rsidRPr="008C726A" w:rsidDel="00364734">
                              <w:rPr>
                                <w:rStyle w:val="normaltextrun"/>
                                <w:rFonts w:asciiTheme="minorHAnsi" w:hAnsiTheme="minorHAnsi" w:cstheme="minorHAnsi"/>
                                <w:bCs/>
                                <w:color w:val="000000"/>
                                <w:sz w:val="22"/>
                                <w:szCs w:val="22"/>
                              </w:rPr>
                              <w:t xml:space="preserve"> </w:t>
                            </w:r>
                          </w:p>
                          <w:p w:rsidRPr="00364734" w:rsidR="00737573" w:rsidP="003B5844" w:rsidRDefault="00737573" w14:paraId="485F7BFC" w14:textId="77777777">
                            <w:pPr>
                              <w:pStyle w:val="paragraph"/>
                              <w:numPr>
                                <w:ilvl w:val="0"/>
                                <w:numId w:val="44"/>
                              </w:numPr>
                              <w:spacing w:before="0" w:beforeAutospacing="0" w:after="0" w:afterAutospacing="0" w:line="276" w:lineRule="auto"/>
                              <w:ind w:left="714" w:hanging="357"/>
                              <w:jc w:val="both"/>
                              <w:textAlignment w:val="baseline"/>
                              <w:rPr>
                                <w:rStyle w:val="normaltextrun"/>
                                <w:rFonts w:asciiTheme="minorHAnsi" w:hAnsiTheme="minorHAnsi" w:cstheme="minorHAnsi"/>
                                <w:bCs/>
                                <w:color w:val="000000"/>
                                <w:sz w:val="22"/>
                                <w:szCs w:val="22"/>
                              </w:rPr>
                            </w:pPr>
                            <w:r w:rsidRPr="00364734">
                              <w:rPr>
                                <w:rStyle w:val="normaltextrun"/>
                                <w:rFonts w:asciiTheme="minorHAnsi" w:hAnsiTheme="minorHAnsi" w:cstheme="minorHAnsi"/>
                                <w:bCs/>
                                <w:color w:val="000000"/>
                                <w:sz w:val="22"/>
                                <w:szCs w:val="22"/>
                              </w:rPr>
                              <w:t>Search-only API User - Limited Programmatic Access - Programmatically connect to search at a lower volume threshold than permitted for a Power User</w:t>
                            </w:r>
                          </w:p>
                          <w:p w:rsidR="00737573" w:rsidP="003B5844" w:rsidRDefault="00737573" w14:paraId="1224481E" w14:textId="77777777">
                            <w:pPr>
                              <w:pStyle w:val="paragraph"/>
                              <w:numPr>
                                <w:ilvl w:val="0"/>
                                <w:numId w:val="44"/>
                              </w:numPr>
                              <w:spacing w:before="0" w:beforeAutospacing="0" w:after="0" w:afterAutospacing="0" w:line="276" w:lineRule="auto"/>
                              <w:ind w:left="714" w:hanging="357"/>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Standard User - </w:t>
                            </w:r>
                            <w:r w:rsidRPr="00A73418">
                              <w:rPr>
                                <w:rStyle w:val="normaltextrun"/>
                                <w:rFonts w:asciiTheme="minorHAnsi" w:hAnsiTheme="minorHAnsi" w:cstheme="minorHAnsi"/>
                                <w:bCs/>
                                <w:color w:val="000000"/>
                                <w:sz w:val="22"/>
                                <w:szCs w:val="22"/>
                              </w:rPr>
                              <w:t>Manual Access - Manually connect to create, search for and download data</w:t>
                            </w:r>
                            <w:r>
                              <w:rPr>
                                <w:rStyle w:val="normaltextrun"/>
                                <w:rFonts w:asciiTheme="minorHAnsi" w:hAnsiTheme="minorHAnsi" w:cstheme="minorHAnsi"/>
                                <w:bCs/>
                                <w:color w:val="000000"/>
                                <w:sz w:val="22"/>
                                <w:szCs w:val="22"/>
                              </w:rPr>
                              <w:t xml:space="preserve"> </w:t>
                            </w:r>
                          </w:p>
                          <w:p w:rsidR="00737573" w:rsidP="00FF24E6" w:rsidRDefault="00737573" w14:paraId="14EF6B03" w14:textId="77777777">
                            <w:pPr>
                              <w:pStyle w:val="paragraph"/>
                              <w:numPr>
                                <w:ilvl w:val="0"/>
                                <w:numId w:val="44"/>
                              </w:numPr>
                              <w:spacing w:before="0" w:beforeAutospacing="0" w:after="0" w:afterAutospacing="0" w:line="276" w:lineRule="auto"/>
                              <w:ind w:left="714" w:hanging="357"/>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Infrequent User - </w:t>
                            </w:r>
                            <w:r w:rsidRPr="00A73418">
                              <w:rPr>
                                <w:rStyle w:val="normaltextrun"/>
                                <w:rFonts w:asciiTheme="minorHAnsi" w:hAnsiTheme="minorHAnsi" w:cstheme="minorHAnsi"/>
                                <w:bCs/>
                                <w:color w:val="000000"/>
                                <w:sz w:val="22"/>
                                <w:szCs w:val="22"/>
                              </w:rPr>
                              <w:t>Manual Access - Manually connect to create, search for and download data, at a lower volume threshold than permitted for a Standard User</w:t>
                            </w:r>
                          </w:p>
                          <w:p w:rsidRPr="008E271F" w:rsidR="00737573" w:rsidP="001456B9" w:rsidRDefault="00737573" w14:paraId="3FE909D6" w14:textId="77777777">
                            <w:pPr>
                              <w:pStyle w:val="paragraph"/>
                              <w:spacing w:before="120" w:beforeAutospacing="0" w:after="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Non-Fee Paying:</w:t>
                            </w:r>
                          </w:p>
                          <w:p w:rsidRPr="008E271F" w:rsidR="00737573" w:rsidP="001456B9" w:rsidRDefault="00737573" w14:paraId="6A2B35F9" w14:textId="77777777">
                            <w:pPr>
                              <w:pStyle w:val="paragraph"/>
                              <w:numPr>
                                <w:ilvl w:val="0"/>
                                <w:numId w:val="44"/>
                              </w:numPr>
                              <w:spacing w:before="0" w:beforeAutospacing="0" w:after="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Registered User - </w:t>
                            </w:r>
                            <w:r w:rsidRPr="008E271F">
                              <w:rPr>
                                <w:rStyle w:val="normaltextrun"/>
                                <w:rFonts w:asciiTheme="minorHAnsi" w:hAnsiTheme="minorHAnsi" w:cstheme="minorHAnsi"/>
                                <w:bCs/>
                                <w:color w:val="000000"/>
                                <w:sz w:val="22"/>
                                <w:szCs w:val="22"/>
                              </w:rPr>
                              <w:t>Manually connect to search for and download data</w:t>
                            </w:r>
                          </w:p>
                          <w:p w:rsidRPr="008E271F" w:rsidR="00737573" w:rsidP="001456B9" w:rsidRDefault="00737573" w14:paraId="16C28C7E" w14:textId="77777777">
                            <w:pPr>
                              <w:pStyle w:val="paragraph"/>
                              <w:numPr>
                                <w:ilvl w:val="0"/>
                                <w:numId w:val="44"/>
                              </w:numPr>
                              <w:spacing w:before="0" w:beforeAutospacing="0" w:after="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Registered User - </w:t>
                            </w:r>
                            <w:r w:rsidRPr="008E271F">
                              <w:rPr>
                                <w:rStyle w:val="normaltextrun"/>
                                <w:rFonts w:asciiTheme="minorHAnsi" w:hAnsiTheme="minorHAnsi" w:cstheme="minorHAnsi"/>
                                <w:bCs/>
                                <w:color w:val="000000"/>
                                <w:sz w:val="22"/>
                                <w:szCs w:val="22"/>
                              </w:rPr>
                              <w:t xml:space="preserve">Manually or programmatically connect to download data from the file download service </w:t>
                            </w:r>
                            <w:r>
                              <w:rPr>
                                <w:rStyle w:val="normaltextrun"/>
                                <w:rFonts w:asciiTheme="minorHAnsi" w:hAnsiTheme="minorHAnsi" w:cstheme="minorHAnsi"/>
                                <w:bCs/>
                                <w:color w:val="000000"/>
                                <w:sz w:val="22"/>
                                <w:szCs w:val="22"/>
                              </w:rPr>
                              <w:t xml:space="preserve"> </w:t>
                            </w:r>
                          </w:p>
                          <w:p w:rsidRPr="000B0101" w:rsidR="00737573" w:rsidP="001456B9" w:rsidRDefault="00737573" w14:paraId="38C2E1EB" w14:textId="20E2C7F0">
                            <w:pPr>
                              <w:pStyle w:val="paragraph"/>
                              <w:spacing w:before="0" w:beforeAutospacing="0" w:after="120" w:afterAutospacing="0" w:line="276" w:lineRule="auto"/>
                              <w:jc w:val="both"/>
                              <w:textAlignment w:val="baseline"/>
                              <w:rPr>
                                <w:rStyle w:val="normaltextrun"/>
                                <w:rFonts w:ascii="Calibri" w:hAnsi="Calibri" w:cs="Calibri" w:eastAsiaTheme="minorEastAsia"/>
                                <w:bCs/>
                                <w:color w:val="000000"/>
                                <w:sz w:val="22"/>
                                <w:szCs w:val="22"/>
                                <w:lang w:val="en-US" w:eastAsia="en-US"/>
                              </w:rPr>
                            </w:pPr>
                          </w:p>
                          <w:p w:rsidRPr="000B0101" w:rsidR="00737573" w:rsidP="001456B9" w:rsidRDefault="00737573" w14:paraId="6D1FAB93" w14:textId="3D2976A6">
                            <w:pPr>
                              <w:jc w:val="both"/>
                              <w:rPr>
                                <w:rStyle w:val="normaltextrun"/>
                                <w:rFonts w:ascii="Calibri" w:hAnsi="Calibri" w:cs="Calibri"/>
                                <w:b/>
                                <w:i/>
                                <w:color w:val="000000"/>
                              </w:rPr>
                            </w:pPr>
                            <w:r w:rsidRPr="00FD3533">
                              <w:rPr>
                                <w:rStyle w:val="normaltextrun"/>
                                <w:rFonts w:ascii="Calibri" w:hAnsi="Calibri" w:cs="Calibri"/>
                                <w:b/>
                                <w:bCs/>
                                <w:i/>
                                <w:iCs/>
                                <w:color w:val="000000"/>
                              </w:rPr>
                              <w:t xml:space="preserve">Question 2a: </w:t>
                            </w:r>
                            <w:r w:rsidRPr="00FD3533">
                              <w:rPr>
                                <w:rStyle w:val="normaltextrun"/>
                                <w:rFonts w:ascii="Calibri" w:hAnsi="Calibri" w:cs="Calibri"/>
                                <w:b/>
                                <w:i/>
                                <w:iCs/>
                                <w:color w:val="000000"/>
                              </w:rPr>
                              <w:t>Do you</w:t>
                            </w:r>
                            <w:r w:rsidRPr="000B0101">
                              <w:rPr>
                                <w:rStyle w:val="normaltextrun"/>
                                <w:rFonts w:ascii="Calibri" w:hAnsi="Calibri" w:cs="Calibri"/>
                                <w:b/>
                                <w:i/>
                                <w:color w:val="000000"/>
                              </w:rPr>
                              <w:t xml:space="preserve"> concur with the </w:t>
                            </w:r>
                            <w:r w:rsidR="00B70777">
                              <w:rPr>
                                <w:rStyle w:val="normaltextrun"/>
                                <w:rFonts w:ascii="Calibri" w:hAnsi="Calibri" w:cs="Calibri"/>
                                <w:b/>
                                <w:i/>
                                <w:color w:val="000000"/>
                              </w:rPr>
                              <w:t xml:space="preserve">approach </w:t>
                            </w:r>
                            <w:r w:rsidR="00667464">
                              <w:rPr>
                                <w:rStyle w:val="normaltextrun"/>
                                <w:rFonts w:ascii="Calibri" w:hAnsi="Calibri" w:cs="Calibri"/>
                                <w:b/>
                                <w:i/>
                                <w:color w:val="000000"/>
                              </w:rPr>
                              <w:t>related</w:t>
                            </w:r>
                            <w:r w:rsidRPr="000B0101">
                              <w:rPr>
                                <w:rStyle w:val="normaltextrun"/>
                                <w:rFonts w:ascii="Calibri" w:hAnsi="Calibri" w:cs="Calibri"/>
                                <w:b/>
                                <w:i/>
                                <w:color w:val="000000"/>
                              </w:rPr>
                              <w:t xml:space="preserve"> to </w:t>
                            </w:r>
                            <w:r w:rsidR="00667464">
                              <w:rPr>
                                <w:rStyle w:val="normaltextrun"/>
                                <w:rFonts w:ascii="Calibri" w:hAnsi="Calibri" w:cs="Calibri"/>
                                <w:b/>
                                <w:i/>
                                <w:color w:val="000000"/>
                              </w:rPr>
                              <w:t>user</w:t>
                            </w:r>
                            <w:r>
                              <w:rPr>
                                <w:rStyle w:val="normaltextrun"/>
                                <w:rFonts w:ascii="Calibri" w:hAnsi="Calibri" w:cs="Calibri"/>
                                <w:b/>
                                <w:i/>
                                <w:color w:val="000000"/>
                              </w:rPr>
                              <w:t xml:space="preserve"> access </w:t>
                            </w:r>
                            <w:r w:rsidR="00B70777">
                              <w:rPr>
                                <w:rStyle w:val="normaltextrun"/>
                                <w:rFonts w:ascii="Calibri" w:hAnsi="Calibri" w:cs="Calibri"/>
                                <w:b/>
                                <w:i/>
                                <w:color w:val="000000"/>
                              </w:rPr>
                              <w:t>including</w:t>
                            </w:r>
                            <w:r>
                              <w:rPr>
                                <w:rStyle w:val="normaltextrun"/>
                                <w:rFonts w:ascii="Calibri" w:hAnsi="Calibri" w:cs="Calibri"/>
                                <w:b/>
                                <w:i/>
                                <w:color w:val="000000"/>
                              </w:rPr>
                              <w:t xml:space="preserve"> any additional services to be introduced at the discretion of the TAC? </w:t>
                            </w:r>
                          </w:p>
                          <w:p w:rsidRPr="000B0101" w:rsidR="00737573" w:rsidP="001456B9" w:rsidRDefault="00737573" w14:paraId="730607A8" w14:textId="77777777">
                            <w:pPr>
                              <w:jc w:val="both"/>
                              <w:rPr>
                                <w:rStyle w:val="normaltextrun"/>
                                <w:rFonts w:cstheme="minorHAnsi"/>
                                <w:b/>
                                <w:color w:val="000000"/>
                              </w:rPr>
                            </w:pPr>
                            <w:r w:rsidRPr="000B0101">
                              <w:rPr>
                                <w:rStyle w:val="normaltextrun"/>
                                <w:rFonts w:cstheme="minorHAnsi"/>
                                <w:b/>
                                <w:bCs/>
                                <w:color w:val="000000"/>
                              </w:rPr>
                              <w:t xml:space="preserve">Question </w:t>
                            </w:r>
                            <w:r>
                              <w:rPr>
                                <w:rStyle w:val="normaltextrun"/>
                                <w:rFonts w:cstheme="minorHAnsi"/>
                                <w:b/>
                                <w:bCs/>
                                <w:color w:val="000000"/>
                              </w:rPr>
                              <w:t>2</w:t>
                            </w:r>
                            <w:r w:rsidRPr="000B0101">
                              <w:rPr>
                                <w:rStyle w:val="normaltextrun"/>
                                <w:rFonts w:cstheme="minorHAnsi"/>
                                <w:b/>
                                <w:bCs/>
                                <w:color w:val="000000"/>
                              </w:rPr>
                              <w:t>b:</w:t>
                            </w:r>
                            <w:r w:rsidRPr="000B0101">
                              <w:rPr>
                                <w:rStyle w:val="normaltextrun"/>
                                <w:rFonts w:cstheme="minorHAnsi"/>
                                <w:b/>
                                <w:color w:val="000000"/>
                              </w:rPr>
                              <w:t xml:space="preserve"> </w:t>
                            </w:r>
                            <w:r w:rsidRPr="000B0101">
                              <w:rPr>
                                <w:rStyle w:val="normaltextrun"/>
                                <w:rFonts w:cstheme="minorHAnsi"/>
                                <w:b/>
                                <w:i/>
                                <w:color w:val="000000"/>
                              </w:rPr>
                              <w:t>If not, what specific alternate approach do you recommend? Please provide a clear and objective rationale for each alternate approach you recommend.</w:t>
                            </w:r>
                            <w:r w:rsidRPr="000B0101">
                              <w:rPr>
                                <w:rStyle w:val="normaltextrun"/>
                                <w:rFonts w:cstheme="minorHAnsi"/>
                                <w:b/>
                                <w:color w:val="00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65F0DD5">
              <v:shape id="_x0000_s1028" style="position:absolute;left:0;text-align:left;margin-left:0;margin-top:24pt;width:450.15pt;height:431.7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04aeb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" w14:anchorId="1D3B368C">
                <v:textbox>
                  <w:txbxContent>
                    <w:p w:rsidR="00737573" w:rsidP="001456B9" w:rsidRDefault="00737573" w14:paraId="2520738F" w14:textId="34E9B652">
                      <w:pPr>
                        <w:pStyle w:val="paragraph"/>
                        <w:spacing w:before="240" w:beforeAutospacing="0" w:after="120" w:afterAutospacing="0" w:line="276" w:lineRule="auto"/>
                        <w:jc w:val="both"/>
                        <w:textAlignment w:val="baseline"/>
                        <w:rPr>
                          <w:rStyle w:val="normaltextrun"/>
                          <w:rFonts w:ascii="Calibri" w:hAnsi="Calibri" w:cs="Calibri"/>
                          <w:bCs/>
                          <w:color w:val="000000"/>
                          <w:sz w:val="22"/>
                          <w:szCs w:val="22"/>
                        </w:rPr>
                      </w:pPr>
                      <w:r w:rsidRPr="000B0101">
                        <w:rPr>
                          <w:rStyle w:val="normaltextrun"/>
                          <w:rFonts w:ascii="Calibri" w:hAnsi="Calibri" w:cs="Calibri"/>
                          <w:b/>
                          <w:bCs/>
                          <w:color w:val="000000"/>
                          <w:sz w:val="22"/>
                          <w:szCs w:val="22"/>
                        </w:rPr>
                        <w:t>Summary</w:t>
                      </w:r>
                      <w:r w:rsidRPr="000B0101">
                        <w:rPr>
                          <w:rStyle w:val="normaltextrun"/>
                          <w:rFonts w:ascii="Calibri" w:hAnsi="Calibri" w:cs="Calibri"/>
                          <w:b/>
                          <w:color w:val="000000"/>
                          <w:sz w:val="22"/>
                          <w:szCs w:val="22"/>
                        </w:rPr>
                        <w:t xml:space="preserve">: </w:t>
                      </w:r>
                      <w:r w:rsidRPr="000B0101">
                        <w:rPr>
                          <w:rStyle w:val="normaltextrun"/>
                          <w:rFonts w:ascii="Calibri" w:hAnsi="Calibri" w:cs="Calibri"/>
                          <w:bCs/>
                          <w:color w:val="000000"/>
                          <w:sz w:val="22"/>
                          <w:szCs w:val="22"/>
                        </w:rPr>
                        <w:t xml:space="preserve">The DSB </w:t>
                      </w:r>
                      <w:r>
                        <w:rPr>
                          <w:rStyle w:val="normaltextrun"/>
                          <w:rFonts w:ascii="Calibri" w:hAnsi="Calibri" w:cs="Calibri"/>
                          <w:bCs/>
                          <w:color w:val="000000"/>
                          <w:sz w:val="22"/>
                          <w:szCs w:val="22"/>
                        </w:rPr>
                        <w:t xml:space="preserve">is evaluating the additional data access mechanisms requested by respondents to the first consultation and proposes to follow up with feedback from the </w:t>
                      </w:r>
                      <w:r w:rsidR="008C2611">
                        <w:rPr>
                          <w:rStyle w:val="normaltextrun"/>
                          <w:rFonts w:ascii="Calibri" w:hAnsi="Calibri" w:cs="Calibri"/>
                          <w:bCs/>
                          <w:color w:val="000000"/>
                          <w:sz w:val="22"/>
                          <w:szCs w:val="22"/>
                        </w:rPr>
                        <w:t xml:space="preserve">DSB </w:t>
                      </w:r>
                      <w:r>
                        <w:rPr>
                          <w:rStyle w:val="normaltextrun"/>
                          <w:rFonts w:ascii="Calibri" w:hAnsi="Calibri" w:cs="Calibri"/>
                          <w:bCs/>
                          <w:color w:val="000000"/>
                          <w:sz w:val="22"/>
                          <w:szCs w:val="22"/>
                        </w:rPr>
                        <w:t xml:space="preserve">Technology Advisory Committee (TAC) once their review has completed, with an update to be provided in the UPI </w:t>
                      </w:r>
                      <w:r w:rsidR="00D233E0">
                        <w:rPr>
                          <w:rStyle w:val="normaltextrun"/>
                          <w:rFonts w:ascii="Calibri" w:hAnsi="Calibri" w:cs="Calibri"/>
                          <w:bCs/>
                          <w:color w:val="000000"/>
                          <w:sz w:val="22"/>
                          <w:szCs w:val="22"/>
                        </w:rPr>
                        <w:t>Consultation Final Report</w:t>
                      </w:r>
                      <w:r>
                        <w:rPr>
                          <w:rStyle w:val="normaltextrun"/>
                          <w:rFonts w:ascii="Calibri" w:hAnsi="Calibri" w:cs="Calibri"/>
                          <w:bCs/>
                          <w:color w:val="000000"/>
                          <w:sz w:val="22"/>
                          <w:szCs w:val="22"/>
                        </w:rPr>
                        <w:t xml:space="preserve">. </w:t>
                      </w:r>
                    </w:p>
                    <w:p w:rsidRPr="00470DF3" w:rsidR="00737573" w:rsidP="001456B9" w:rsidRDefault="00737573" w14:paraId="78543C70" w14:textId="18EF088E">
                      <w:pPr>
                        <w:pStyle w:val="paragraph"/>
                        <w:spacing w:before="0" w:beforeAutospacing="0" w:after="120" w:afterAutospacing="0" w:line="276" w:lineRule="auto"/>
                        <w:jc w:val="both"/>
                        <w:textAlignment w:val="baseline"/>
                        <w:rPr>
                          <w:rStyle w:val="normaltextrun"/>
                          <w:rFonts w:ascii="Calibri" w:hAnsi="Calibri" w:cs="Calibri"/>
                          <w:bCs/>
                          <w:color w:val="000000"/>
                          <w:sz w:val="22"/>
                          <w:szCs w:val="22"/>
                        </w:rPr>
                      </w:pPr>
                      <w:r>
                        <w:rPr>
                          <w:rStyle w:val="normaltextrun"/>
                          <w:rFonts w:ascii="Calibri" w:hAnsi="Calibri" w:cs="Calibri"/>
                          <w:bCs/>
                          <w:color w:val="000000"/>
                          <w:sz w:val="22"/>
                          <w:szCs w:val="22"/>
                        </w:rPr>
                        <w:t xml:space="preserve">At this time the DSB believes that users will be able to access the </w:t>
                      </w:r>
                      <w:r w:rsidR="008C2611">
                        <w:rPr>
                          <w:rStyle w:val="normaltextrun"/>
                          <w:rFonts w:ascii="Calibri" w:hAnsi="Calibri" w:cs="Calibri"/>
                          <w:bCs/>
                          <w:color w:val="000000"/>
                          <w:sz w:val="22"/>
                          <w:szCs w:val="22"/>
                        </w:rPr>
                        <w:t xml:space="preserve">UPI </w:t>
                      </w:r>
                      <w:r>
                        <w:rPr>
                          <w:rStyle w:val="normaltextrun"/>
                          <w:rFonts w:ascii="Calibri" w:hAnsi="Calibri" w:cs="Calibri"/>
                          <w:bCs/>
                          <w:color w:val="000000"/>
                          <w:sz w:val="22"/>
                          <w:szCs w:val="22"/>
                        </w:rPr>
                        <w:t xml:space="preserve">service using one or more </w:t>
                      </w:r>
                      <w:r w:rsidRPr="00470DF3">
                        <w:rPr>
                          <w:rStyle w:val="normaltextrun"/>
                          <w:rFonts w:ascii="Calibri" w:hAnsi="Calibri" w:cs="Calibri"/>
                          <w:bCs/>
                          <w:color w:val="000000"/>
                          <w:sz w:val="22"/>
                          <w:szCs w:val="22"/>
                        </w:rPr>
                        <w:t xml:space="preserve">of the following mechanisms: </w:t>
                      </w:r>
                    </w:p>
                    <w:p w:rsidRPr="008E271F" w:rsidR="00737573" w:rsidP="00C513D8" w:rsidRDefault="00737573" w14:paraId="2E9246C5" w14:textId="77777777">
                      <w:pPr>
                        <w:spacing w:after="0"/>
                        <w:jc w:val="both"/>
                        <w:rPr>
                          <w:rStyle w:val="normaltextrun"/>
                          <w:rFonts w:ascii="Times New Roman" w:hAnsi="Times New Roman" w:cstheme="minorHAnsi"/>
                          <w:bCs/>
                          <w:color w:val="000000"/>
                          <w:sz w:val="24"/>
                          <w:szCs w:val="24"/>
                          <w:lang w:val="en-GB" w:eastAsia="en-GB"/>
                        </w:rPr>
                      </w:pPr>
                      <w:r>
                        <w:rPr>
                          <w:rStyle w:val="normaltextrun"/>
                          <w:rFonts w:cstheme="minorHAnsi"/>
                          <w:bCs/>
                          <w:color w:val="000000"/>
                        </w:rPr>
                        <w:t>Fee Paying:</w:t>
                      </w:r>
                    </w:p>
                    <w:p w:rsidRPr="008C726A" w:rsidR="00737573" w:rsidP="003B5844" w:rsidRDefault="00737573" w14:paraId="198A5CA2" w14:textId="77777777">
                      <w:pPr>
                        <w:pStyle w:val="paragraph"/>
                        <w:numPr>
                          <w:ilvl w:val="0"/>
                          <w:numId w:val="44"/>
                        </w:numPr>
                        <w:spacing w:before="0" w:beforeAutospacing="0" w:after="0" w:afterAutospacing="0" w:line="276" w:lineRule="auto"/>
                        <w:jc w:val="both"/>
                        <w:textAlignment w:val="baseline"/>
                        <w:rPr>
                          <w:rStyle w:val="normaltextrun"/>
                          <w:rFonts w:asciiTheme="minorHAnsi" w:hAnsiTheme="minorHAnsi" w:eastAsiaTheme="minorEastAsia" w:cstheme="minorHAnsi"/>
                          <w:bCs/>
                          <w:color w:val="000000"/>
                          <w:sz w:val="22"/>
                          <w:szCs w:val="22"/>
                          <w:lang w:val="en-US" w:eastAsia="en-US"/>
                        </w:rPr>
                      </w:pPr>
                      <w:r w:rsidRPr="00C11FE7">
                        <w:rPr>
                          <w:rStyle w:val="normaltextrun"/>
                          <w:rFonts w:asciiTheme="minorHAnsi" w:hAnsiTheme="minorHAnsi" w:cstheme="minorHAnsi"/>
                          <w:bCs/>
                          <w:color w:val="000000"/>
                          <w:sz w:val="22"/>
                          <w:szCs w:val="22"/>
                        </w:rPr>
                        <w:t>Power User</w:t>
                      </w:r>
                      <w:r w:rsidRPr="008C726A">
                        <w:rPr>
                          <w:rStyle w:val="normaltextrun"/>
                          <w:rFonts w:asciiTheme="minorHAnsi" w:hAnsiTheme="minorHAnsi" w:cstheme="minorHAnsi"/>
                          <w:bCs/>
                          <w:color w:val="000000"/>
                          <w:sz w:val="22"/>
                          <w:szCs w:val="22"/>
                        </w:rPr>
                        <w:t xml:space="preserve"> - Full Programmatic Access - Programmatically connect to create, search for and download data</w:t>
                      </w:r>
                      <w:r w:rsidRPr="008C726A" w:rsidDel="00364734">
                        <w:rPr>
                          <w:rStyle w:val="normaltextrun"/>
                          <w:rFonts w:asciiTheme="minorHAnsi" w:hAnsiTheme="minorHAnsi" w:cstheme="minorHAnsi"/>
                          <w:bCs/>
                          <w:color w:val="000000"/>
                          <w:sz w:val="22"/>
                          <w:szCs w:val="22"/>
                        </w:rPr>
                        <w:t xml:space="preserve"> </w:t>
                      </w:r>
                    </w:p>
                    <w:p w:rsidRPr="00364734" w:rsidR="00737573" w:rsidP="003B5844" w:rsidRDefault="00737573" w14:paraId="53BC7761" w14:textId="77777777">
                      <w:pPr>
                        <w:pStyle w:val="paragraph"/>
                        <w:numPr>
                          <w:ilvl w:val="0"/>
                          <w:numId w:val="44"/>
                        </w:numPr>
                        <w:spacing w:before="0" w:beforeAutospacing="0" w:after="0" w:afterAutospacing="0" w:line="276" w:lineRule="auto"/>
                        <w:ind w:left="714" w:hanging="357"/>
                        <w:jc w:val="both"/>
                        <w:textAlignment w:val="baseline"/>
                        <w:rPr>
                          <w:rStyle w:val="normaltextrun"/>
                          <w:rFonts w:asciiTheme="minorHAnsi" w:hAnsiTheme="minorHAnsi" w:cstheme="minorHAnsi"/>
                          <w:bCs/>
                          <w:color w:val="000000"/>
                          <w:sz w:val="22"/>
                          <w:szCs w:val="22"/>
                        </w:rPr>
                      </w:pPr>
                      <w:r w:rsidRPr="00364734">
                        <w:rPr>
                          <w:rStyle w:val="normaltextrun"/>
                          <w:rFonts w:asciiTheme="minorHAnsi" w:hAnsiTheme="minorHAnsi" w:cstheme="minorHAnsi"/>
                          <w:bCs/>
                          <w:color w:val="000000"/>
                          <w:sz w:val="22"/>
                          <w:szCs w:val="22"/>
                        </w:rPr>
                        <w:t>Search-only API User - Limited Programmatic Access - Programmatically connect to search at a lower volume threshold than permitted for a Power User</w:t>
                      </w:r>
                    </w:p>
                    <w:p w:rsidR="00737573" w:rsidP="003B5844" w:rsidRDefault="00737573" w14:paraId="31084E1A" w14:textId="77777777">
                      <w:pPr>
                        <w:pStyle w:val="paragraph"/>
                        <w:numPr>
                          <w:ilvl w:val="0"/>
                          <w:numId w:val="44"/>
                        </w:numPr>
                        <w:spacing w:before="0" w:beforeAutospacing="0" w:after="0" w:afterAutospacing="0" w:line="276" w:lineRule="auto"/>
                        <w:ind w:left="714" w:hanging="357"/>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Standard User - </w:t>
                      </w:r>
                      <w:r w:rsidRPr="00A73418">
                        <w:rPr>
                          <w:rStyle w:val="normaltextrun"/>
                          <w:rFonts w:asciiTheme="minorHAnsi" w:hAnsiTheme="minorHAnsi" w:cstheme="minorHAnsi"/>
                          <w:bCs/>
                          <w:color w:val="000000"/>
                          <w:sz w:val="22"/>
                          <w:szCs w:val="22"/>
                        </w:rPr>
                        <w:t>Manual Access - Manually connect to create, search for and download data</w:t>
                      </w:r>
                      <w:r>
                        <w:rPr>
                          <w:rStyle w:val="normaltextrun"/>
                          <w:rFonts w:asciiTheme="minorHAnsi" w:hAnsiTheme="minorHAnsi" w:cstheme="minorHAnsi"/>
                          <w:bCs/>
                          <w:color w:val="000000"/>
                          <w:sz w:val="22"/>
                          <w:szCs w:val="22"/>
                        </w:rPr>
                        <w:t xml:space="preserve"> </w:t>
                      </w:r>
                    </w:p>
                    <w:p w:rsidR="00737573" w:rsidP="00FF24E6" w:rsidRDefault="00737573" w14:paraId="68F54471" w14:textId="77777777">
                      <w:pPr>
                        <w:pStyle w:val="paragraph"/>
                        <w:numPr>
                          <w:ilvl w:val="0"/>
                          <w:numId w:val="44"/>
                        </w:numPr>
                        <w:spacing w:before="0" w:beforeAutospacing="0" w:after="0" w:afterAutospacing="0" w:line="276" w:lineRule="auto"/>
                        <w:ind w:left="714" w:hanging="357"/>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Infrequent User - </w:t>
                      </w:r>
                      <w:r w:rsidRPr="00A73418">
                        <w:rPr>
                          <w:rStyle w:val="normaltextrun"/>
                          <w:rFonts w:asciiTheme="minorHAnsi" w:hAnsiTheme="minorHAnsi" w:cstheme="minorHAnsi"/>
                          <w:bCs/>
                          <w:color w:val="000000"/>
                          <w:sz w:val="22"/>
                          <w:szCs w:val="22"/>
                        </w:rPr>
                        <w:t>Manual Access - Manually connect to create, search for and download data, at a lower volume threshold than permitted for a Standard User</w:t>
                      </w:r>
                    </w:p>
                    <w:p w:rsidRPr="008E271F" w:rsidR="00737573" w:rsidP="001456B9" w:rsidRDefault="00737573" w14:paraId="35B0EBE4" w14:textId="77777777">
                      <w:pPr>
                        <w:pStyle w:val="paragraph"/>
                        <w:spacing w:before="120" w:beforeAutospacing="0" w:after="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Non-Fee Paying:</w:t>
                      </w:r>
                    </w:p>
                    <w:p w:rsidRPr="008E271F" w:rsidR="00737573" w:rsidP="001456B9" w:rsidRDefault="00737573" w14:paraId="0853FCA6" w14:textId="77777777">
                      <w:pPr>
                        <w:pStyle w:val="paragraph"/>
                        <w:numPr>
                          <w:ilvl w:val="0"/>
                          <w:numId w:val="44"/>
                        </w:numPr>
                        <w:spacing w:before="0" w:beforeAutospacing="0" w:after="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Registered User - </w:t>
                      </w:r>
                      <w:r w:rsidRPr="008E271F">
                        <w:rPr>
                          <w:rStyle w:val="normaltextrun"/>
                          <w:rFonts w:asciiTheme="minorHAnsi" w:hAnsiTheme="minorHAnsi" w:cstheme="minorHAnsi"/>
                          <w:bCs/>
                          <w:color w:val="000000"/>
                          <w:sz w:val="22"/>
                          <w:szCs w:val="22"/>
                        </w:rPr>
                        <w:t>Manually connect to search for and download data</w:t>
                      </w:r>
                    </w:p>
                    <w:p w:rsidRPr="008E271F" w:rsidR="00737573" w:rsidP="001456B9" w:rsidRDefault="00737573" w14:paraId="47DEB33E" w14:textId="77777777">
                      <w:pPr>
                        <w:pStyle w:val="paragraph"/>
                        <w:numPr>
                          <w:ilvl w:val="0"/>
                          <w:numId w:val="44"/>
                        </w:numPr>
                        <w:spacing w:before="0" w:beforeAutospacing="0" w:after="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Registered User - </w:t>
                      </w:r>
                      <w:r w:rsidRPr="008E271F">
                        <w:rPr>
                          <w:rStyle w:val="normaltextrun"/>
                          <w:rFonts w:asciiTheme="minorHAnsi" w:hAnsiTheme="minorHAnsi" w:cstheme="minorHAnsi"/>
                          <w:bCs/>
                          <w:color w:val="000000"/>
                          <w:sz w:val="22"/>
                          <w:szCs w:val="22"/>
                        </w:rPr>
                        <w:t xml:space="preserve">Manually or programmatically connect to download data from the file download service </w:t>
                      </w:r>
                      <w:r>
                        <w:rPr>
                          <w:rStyle w:val="normaltextrun"/>
                          <w:rFonts w:asciiTheme="minorHAnsi" w:hAnsiTheme="minorHAnsi" w:cstheme="minorHAnsi"/>
                          <w:bCs/>
                          <w:color w:val="000000"/>
                          <w:sz w:val="22"/>
                          <w:szCs w:val="22"/>
                        </w:rPr>
                        <w:t xml:space="preserve"> </w:t>
                      </w:r>
                    </w:p>
                    <w:p w:rsidRPr="000B0101" w:rsidR="00737573" w:rsidP="001456B9" w:rsidRDefault="00737573" w14:paraId="0A37501D" w14:textId="20E2C7F0">
                      <w:pPr>
                        <w:pStyle w:val="paragraph"/>
                        <w:spacing w:before="0" w:beforeAutospacing="0" w:after="120" w:afterAutospacing="0" w:line="276" w:lineRule="auto"/>
                        <w:jc w:val="both"/>
                        <w:textAlignment w:val="baseline"/>
                        <w:rPr>
                          <w:rStyle w:val="normaltextrun"/>
                          <w:rFonts w:ascii="Calibri" w:hAnsi="Calibri" w:cs="Calibri" w:eastAsiaTheme="minorEastAsia"/>
                          <w:bCs/>
                          <w:color w:val="000000"/>
                          <w:sz w:val="22"/>
                          <w:szCs w:val="22"/>
                          <w:lang w:val="en-US" w:eastAsia="en-US"/>
                        </w:rPr>
                      </w:pPr>
                    </w:p>
                    <w:p w:rsidRPr="000B0101" w:rsidR="00737573" w:rsidP="001456B9" w:rsidRDefault="00737573" w14:paraId="7731FB16" w14:textId="3D2976A6">
                      <w:pPr>
                        <w:jc w:val="both"/>
                        <w:rPr>
                          <w:rStyle w:val="normaltextrun"/>
                          <w:rFonts w:ascii="Calibri" w:hAnsi="Calibri" w:cs="Calibri"/>
                          <w:b/>
                          <w:i/>
                          <w:color w:val="000000"/>
                        </w:rPr>
                      </w:pPr>
                      <w:r w:rsidRPr="00FD3533">
                        <w:rPr>
                          <w:rStyle w:val="normaltextrun"/>
                          <w:rFonts w:ascii="Calibri" w:hAnsi="Calibri" w:cs="Calibri"/>
                          <w:b/>
                          <w:bCs/>
                          <w:i/>
                          <w:iCs/>
                          <w:color w:val="000000"/>
                        </w:rPr>
                        <w:t xml:space="preserve">Question 2a: </w:t>
                      </w:r>
                      <w:r w:rsidRPr="00FD3533">
                        <w:rPr>
                          <w:rStyle w:val="normaltextrun"/>
                          <w:rFonts w:ascii="Calibri" w:hAnsi="Calibri" w:cs="Calibri"/>
                          <w:b/>
                          <w:i/>
                          <w:iCs/>
                          <w:color w:val="000000"/>
                        </w:rPr>
                        <w:t>Do you</w:t>
                      </w:r>
                      <w:r w:rsidRPr="000B0101">
                        <w:rPr>
                          <w:rStyle w:val="normaltextrun"/>
                          <w:rFonts w:ascii="Calibri" w:hAnsi="Calibri" w:cs="Calibri"/>
                          <w:b/>
                          <w:i/>
                          <w:color w:val="000000"/>
                        </w:rPr>
                        <w:t xml:space="preserve"> concur with the </w:t>
                      </w:r>
                      <w:r w:rsidR="00B70777">
                        <w:rPr>
                          <w:rStyle w:val="normaltextrun"/>
                          <w:rFonts w:ascii="Calibri" w:hAnsi="Calibri" w:cs="Calibri"/>
                          <w:b/>
                          <w:i/>
                          <w:color w:val="000000"/>
                        </w:rPr>
                        <w:t xml:space="preserve">approach </w:t>
                      </w:r>
                      <w:r w:rsidR="00667464">
                        <w:rPr>
                          <w:rStyle w:val="normaltextrun"/>
                          <w:rFonts w:ascii="Calibri" w:hAnsi="Calibri" w:cs="Calibri"/>
                          <w:b/>
                          <w:i/>
                          <w:color w:val="000000"/>
                        </w:rPr>
                        <w:t>related</w:t>
                      </w:r>
                      <w:r w:rsidRPr="000B0101">
                        <w:rPr>
                          <w:rStyle w:val="normaltextrun"/>
                          <w:rFonts w:ascii="Calibri" w:hAnsi="Calibri" w:cs="Calibri"/>
                          <w:b/>
                          <w:i/>
                          <w:color w:val="000000"/>
                        </w:rPr>
                        <w:t xml:space="preserve"> to </w:t>
                      </w:r>
                      <w:r w:rsidR="00667464">
                        <w:rPr>
                          <w:rStyle w:val="normaltextrun"/>
                          <w:rFonts w:ascii="Calibri" w:hAnsi="Calibri" w:cs="Calibri"/>
                          <w:b/>
                          <w:i/>
                          <w:color w:val="000000"/>
                        </w:rPr>
                        <w:t>user</w:t>
                      </w:r>
                      <w:r>
                        <w:rPr>
                          <w:rStyle w:val="normaltextrun"/>
                          <w:rFonts w:ascii="Calibri" w:hAnsi="Calibri" w:cs="Calibri"/>
                          <w:b/>
                          <w:i/>
                          <w:color w:val="000000"/>
                        </w:rPr>
                        <w:t xml:space="preserve"> access </w:t>
                      </w:r>
                      <w:r w:rsidR="00B70777">
                        <w:rPr>
                          <w:rStyle w:val="normaltextrun"/>
                          <w:rFonts w:ascii="Calibri" w:hAnsi="Calibri" w:cs="Calibri"/>
                          <w:b/>
                          <w:i/>
                          <w:color w:val="000000"/>
                        </w:rPr>
                        <w:t>including</w:t>
                      </w:r>
                      <w:r>
                        <w:rPr>
                          <w:rStyle w:val="normaltextrun"/>
                          <w:rFonts w:ascii="Calibri" w:hAnsi="Calibri" w:cs="Calibri"/>
                          <w:b/>
                          <w:i/>
                          <w:color w:val="000000"/>
                        </w:rPr>
                        <w:t xml:space="preserve"> any additional services to be introduced at the discretion of the TAC? </w:t>
                      </w:r>
                    </w:p>
                    <w:p w:rsidRPr="000B0101" w:rsidR="00737573" w:rsidP="001456B9" w:rsidRDefault="00737573" w14:paraId="0727A54B" w14:textId="77777777">
                      <w:pPr>
                        <w:jc w:val="both"/>
                        <w:rPr>
                          <w:rStyle w:val="normaltextrun"/>
                          <w:rFonts w:cstheme="minorHAnsi"/>
                          <w:b/>
                          <w:color w:val="000000"/>
                        </w:rPr>
                      </w:pPr>
                      <w:r w:rsidRPr="000B0101">
                        <w:rPr>
                          <w:rStyle w:val="normaltextrun"/>
                          <w:rFonts w:cstheme="minorHAnsi"/>
                          <w:b/>
                          <w:bCs/>
                          <w:color w:val="000000"/>
                        </w:rPr>
                        <w:t xml:space="preserve">Question </w:t>
                      </w:r>
                      <w:r>
                        <w:rPr>
                          <w:rStyle w:val="normaltextrun"/>
                          <w:rFonts w:cstheme="minorHAnsi"/>
                          <w:b/>
                          <w:bCs/>
                          <w:color w:val="000000"/>
                        </w:rPr>
                        <w:t>2</w:t>
                      </w:r>
                      <w:r w:rsidRPr="000B0101">
                        <w:rPr>
                          <w:rStyle w:val="normaltextrun"/>
                          <w:rFonts w:cstheme="minorHAnsi"/>
                          <w:b/>
                          <w:bCs/>
                          <w:color w:val="000000"/>
                        </w:rPr>
                        <w:t>b:</w:t>
                      </w:r>
                      <w:r w:rsidRPr="000B0101">
                        <w:rPr>
                          <w:rStyle w:val="normaltextrun"/>
                          <w:rFonts w:cstheme="minorHAnsi"/>
                          <w:b/>
                          <w:color w:val="000000"/>
                        </w:rPr>
                        <w:t xml:space="preserve"> </w:t>
                      </w:r>
                      <w:r w:rsidRPr="000B0101">
                        <w:rPr>
                          <w:rStyle w:val="normaltextrun"/>
                          <w:rFonts w:cstheme="minorHAnsi"/>
                          <w:b/>
                          <w:i/>
                          <w:color w:val="000000"/>
                        </w:rPr>
                        <w:t>If not, what specific alternate approach do you recommend? Please provide a clear and objective rationale for each alternate approach you recommend.</w:t>
                      </w:r>
                      <w:r w:rsidRPr="000B0101">
                        <w:rPr>
                          <w:rStyle w:val="normaltextrun"/>
                          <w:rFonts w:cstheme="minorHAnsi"/>
                          <w:b/>
                          <w:color w:val="000000"/>
                        </w:rPr>
                        <w:t xml:space="preserve"> </w:t>
                      </w:r>
                    </w:p>
                  </w:txbxContent>
                </v:textbox>
                <w10:wrap type="square" anchorx="margin"/>
              </v:shape>
            </w:pict>
          </mc:Fallback>
        </mc:AlternateContent>
      </w:r>
      <w:r w:rsidR="00F73E49">
        <w:t>User Access</w:t>
      </w:r>
      <w:bookmarkEnd w:id="57"/>
      <w:bookmarkEnd w:id="58"/>
      <w:bookmarkEnd w:id="59"/>
      <w:bookmarkEnd w:id="60"/>
      <w:r w:rsidR="00F73E49">
        <w:t xml:space="preserve">   </w:t>
      </w:r>
    </w:p>
    <w:p w:rsidR="00F73E49" w:rsidP="00AB4C9D" w:rsidRDefault="00F73E49" w14:paraId="371D1518" w14:textId="67483CA4">
      <w:pPr>
        <w:spacing w:before="240"/>
        <w:jc w:val="both"/>
        <w:rPr>
          <w:u w:val="single"/>
        </w:rPr>
      </w:pPr>
      <w:r>
        <w:rPr>
          <w:u w:val="single"/>
        </w:rPr>
        <w:t>Summary of Responses:</w:t>
      </w:r>
    </w:p>
    <w:p w:rsidRPr="008F652C" w:rsidR="00F73E49" w:rsidP="00AB4C9D" w:rsidRDefault="00F73E49" w14:paraId="71BF0F82" w14:textId="6F56F3BB">
      <w:pPr>
        <w:spacing w:after="120"/>
        <w:jc w:val="both"/>
        <w:rPr>
          <w:bCs/>
        </w:rPr>
      </w:pPr>
      <w:r>
        <w:rPr>
          <w:bCs/>
        </w:rPr>
        <w:t xml:space="preserve">The prior consultation </w:t>
      </w:r>
      <w:r w:rsidRPr="008F652C">
        <w:rPr>
          <w:bCs/>
        </w:rPr>
        <w:t xml:space="preserve">sought feedback on the proposal to facilitate access to the UPI service and the UPI reference data library on a programmatic basis, via a web front end, and via a file download service, with records available in a machine-readable format i.e. consistent with the approach currently utilized for the OTC ISIN service. 58% of respondents concurred with the proposal, with one respondent noting that the DSB’s proposal offered market participants with sufficient flexibility to self-determine their DSB integration model(s). There were no responses indicating or stating that respondents had concerns with the proposition put forward by the DSB. </w:t>
      </w:r>
    </w:p>
    <w:p w:rsidR="00F73E49" w:rsidP="00AB4C9D" w:rsidRDefault="00F73E49" w14:paraId="49C2ED9B" w14:textId="77777777">
      <w:pPr>
        <w:spacing w:after="120"/>
        <w:jc w:val="both"/>
        <w:rPr>
          <w:bCs/>
        </w:rPr>
      </w:pPr>
      <w:r>
        <w:rPr>
          <w:bCs/>
        </w:rPr>
        <w:t xml:space="preserve">In addition, two </w:t>
      </w:r>
      <w:r w:rsidRPr="008F652C">
        <w:rPr>
          <w:bCs/>
        </w:rPr>
        <w:t xml:space="preserve">respondents requested that the following additional services be included </w:t>
      </w:r>
      <w:r>
        <w:rPr>
          <w:bCs/>
        </w:rPr>
        <w:t xml:space="preserve">at the point of initial (day one) UPI implementation: </w:t>
      </w:r>
    </w:p>
    <w:p w:rsidR="00F73E49" w:rsidP="00AB4C9D" w:rsidRDefault="00F73E49" w14:paraId="5622250E" w14:textId="77777777">
      <w:pPr>
        <w:pStyle w:val="ListParagraph"/>
        <w:numPr>
          <w:ilvl w:val="0"/>
          <w:numId w:val="11"/>
        </w:numPr>
        <w:spacing w:after="120" w:line="276" w:lineRule="auto"/>
        <w:contextualSpacing w:val="0"/>
        <w:jc w:val="both"/>
        <w:rPr>
          <w:bCs/>
        </w:rPr>
      </w:pPr>
      <w:r w:rsidRPr="002B1CAD">
        <w:rPr>
          <w:bCs/>
        </w:rPr>
        <w:t>A mechanism to request, “all related UPIs” based on a criteria e.g. a request to return all UPIs for a specific legal entity affiliated with the underlying identifier</w:t>
      </w:r>
    </w:p>
    <w:p w:rsidR="00F73E49" w:rsidP="00AB4C9D" w:rsidRDefault="00F73E49" w14:paraId="76F46A71" w14:textId="77777777">
      <w:pPr>
        <w:pStyle w:val="ListParagraph"/>
        <w:numPr>
          <w:ilvl w:val="0"/>
          <w:numId w:val="11"/>
        </w:numPr>
        <w:spacing w:after="120" w:line="276" w:lineRule="auto"/>
        <w:contextualSpacing w:val="0"/>
        <w:jc w:val="both"/>
        <w:rPr>
          <w:bCs/>
        </w:rPr>
      </w:pPr>
      <w:r w:rsidRPr="002B1CAD">
        <w:rPr>
          <w:bCs/>
        </w:rPr>
        <w:t xml:space="preserve">Publication of daily UPI “full files” containing all active UPIs for that day i.e. beyond the DSB’s proposal which is to provide information about changes since the last file publication date </w:t>
      </w:r>
    </w:p>
    <w:p w:rsidR="00F73E49" w:rsidP="00AB4C9D" w:rsidRDefault="00F73E49" w14:paraId="19A46185" w14:textId="77777777">
      <w:pPr>
        <w:pStyle w:val="ListParagraph"/>
        <w:numPr>
          <w:ilvl w:val="0"/>
          <w:numId w:val="11"/>
        </w:numPr>
        <w:spacing w:after="120" w:line="276" w:lineRule="auto"/>
        <w:contextualSpacing w:val="0"/>
        <w:jc w:val="both"/>
        <w:rPr>
          <w:bCs/>
        </w:rPr>
      </w:pPr>
      <w:r w:rsidRPr="002B1CAD">
        <w:rPr>
          <w:bCs/>
        </w:rPr>
        <w:t>A programmatic mechanism allowing the user (in particular for trade repositories) to pull all applicable UPIs in bulk e.g. a file download service on an intraday basis so that changes, updates, and newly created UPIs are appropriately captured for onward dissemination to the appropriate regulatory agency.</w:t>
      </w:r>
    </w:p>
    <w:p w:rsidR="00F73E49" w:rsidP="00AB4C9D" w:rsidRDefault="00F73E49" w14:paraId="523DF785" w14:textId="77777777">
      <w:pPr>
        <w:pStyle w:val="ListParagraph"/>
        <w:numPr>
          <w:ilvl w:val="0"/>
          <w:numId w:val="11"/>
        </w:numPr>
        <w:spacing w:after="120" w:line="276" w:lineRule="auto"/>
        <w:contextualSpacing w:val="0"/>
        <w:jc w:val="both"/>
        <w:rPr>
          <w:bCs/>
        </w:rPr>
      </w:pPr>
      <w:r w:rsidRPr="002B1CAD">
        <w:rPr>
          <w:bCs/>
        </w:rPr>
        <w:t>A control mechanism to programmatically verify that UPI generation for a given date has completed and that UPI generation processes have moved on to the next date (based on UTC). Seen as necessary functionality to provide trade repositories with confirmation that the industry record of UPIs for a given date will not change after that business day has concluded.</w:t>
      </w:r>
    </w:p>
    <w:p w:rsidRPr="002B1CAD" w:rsidR="00F73E49" w:rsidP="00AB4C9D" w:rsidRDefault="00F73E49" w14:paraId="2E4D78BE" w14:textId="77777777">
      <w:pPr>
        <w:pStyle w:val="ListParagraph"/>
        <w:numPr>
          <w:ilvl w:val="0"/>
          <w:numId w:val="11"/>
        </w:numPr>
        <w:spacing w:after="120" w:line="276" w:lineRule="auto"/>
        <w:contextualSpacing w:val="0"/>
        <w:jc w:val="both"/>
        <w:rPr>
          <w:bCs/>
        </w:rPr>
      </w:pPr>
      <w:r w:rsidRPr="002B1CAD">
        <w:rPr>
          <w:bCs/>
        </w:rPr>
        <w:t>For API based access to the UPI data, the ability to GET all UPIs created and/or modified between two timestamps</w:t>
      </w:r>
    </w:p>
    <w:p w:rsidRPr="007361AF" w:rsidR="00F73E49" w:rsidP="00AB4C9D" w:rsidRDefault="00F73E49" w14:paraId="6D1DD92D" w14:textId="77777777">
      <w:pPr>
        <w:jc w:val="both"/>
        <w:rPr>
          <w:bCs/>
          <w:u w:val="single"/>
        </w:rPr>
      </w:pPr>
      <w:r w:rsidRPr="007361AF">
        <w:rPr>
          <w:bCs/>
          <w:u w:val="single"/>
        </w:rPr>
        <w:t>DSB Proposal:</w:t>
      </w:r>
    </w:p>
    <w:p w:rsidR="00381C9F" w:rsidP="00381C9F" w:rsidRDefault="00F73E49" w14:paraId="5C850D22" w14:textId="564F60B7">
      <w:pPr>
        <w:spacing w:after="120"/>
        <w:jc w:val="both"/>
        <w:rPr>
          <w:rStyle w:val="normaltextrun"/>
          <w:rFonts w:ascii="Calibri" w:hAnsi="Calibri" w:cs="Calibri"/>
          <w:bCs/>
          <w:color w:val="000000"/>
        </w:rPr>
      </w:pPr>
      <w:r w:rsidRPr="008E271F">
        <w:rPr>
          <w:rStyle w:val="normaltextrun"/>
          <w:rFonts w:cstheme="minorHAnsi"/>
          <w:bCs/>
          <w:color w:val="000000"/>
        </w:rPr>
        <w:t>The DSB proposes to ensure that UPI users have access to the full suite of access mechanisms that are currently available to DSB users through the existing service</w:t>
      </w:r>
      <w:r w:rsidR="007E0AC9">
        <w:rPr>
          <w:rStyle w:val="normaltextrun"/>
          <w:rFonts w:cstheme="minorHAnsi"/>
          <w:bCs/>
          <w:color w:val="000000"/>
        </w:rPr>
        <w:t xml:space="preserve"> as well as</w:t>
      </w:r>
      <w:r>
        <w:rPr>
          <w:rStyle w:val="normaltextrun"/>
          <w:rFonts w:cstheme="minorHAnsi"/>
          <w:bCs/>
          <w:color w:val="000000"/>
        </w:rPr>
        <w:t xml:space="preserve"> those that are expected to be introduced in 2022 following industry feedback in 2020</w:t>
      </w:r>
      <w:r w:rsidRPr="008E271F">
        <w:rPr>
          <w:rStyle w:val="normaltextrun"/>
          <w:rFonts w:cstheme="minorHAnsi"/>
          <w:bCs/>
          <w:color w:val="000000"/>
        </w:rPr>
        <w:t xml:space="preserve">. </w:t>
      </w:r>
      <w:r w:rsidR="00FF65D1">
        <w:rPr>
          <w:rStyle w:val="normaltextrun"/>
          <w:rFonts w:cstheme="minorHAnsi"/>
          <w:bCs/>
          <w:color w:val="000000"/>
        </w:rPr>
        <w:t>In addition, t</w:t>
      </w:r>
      <w:r w:rsidRPr="00D719F3" w:rsidR="00381C9F">
        <w:rPr>
          <w:rStyle w:val="normaltextrun"/>
          <w:rFonts w:ascii="Calibri" w:hAnsi="Calibri" w:cs="Calibri"/>
          <w:bCs/>
          <w:color w:val="000000"/>
        </w:rPr>
        <w:t xml:space="preserve">he DSB </w:t>
      </w:r>
      <w:r w:rsidR="00FF65D1">
        <w:rPr>
          <w:rStyle w:val="normaltextrun"/>
          <w:rFonts w:ascii="Calibri" w:hAnsi="Calibri" w:cs="Calibri"/>
          <w:bCs/>
          <w:color w:val="000000"/>
        </w:rPr>
        <w:t xml:space="preserve">remains </w:t>
      </w:r>
      <w:r w:rsidRPr="00D719F3" w:rsidR="00381C9F">
        <w:rPr>
          <w:rStyle w:val="normaltextrun"/>
          <w:rFonts w:ascii="Calibri" w:hAnsi="Calibri" w:cs="Calibri"/>
          <w:bCs/>
          <w:color w:val="000000"/>
        </w:rPr>
        <w:t>committed to open access to all. As such access to the DSB archive for consumption of UPIs and associated reference data will be freely available to all organizations and users.</w:t>
      </w:r>
    </w:p>
    <w:p w:rsidR="00F73E49" w:rsidP="00AB4C9D" w:rsidRDefault="00F73E49" w14:paraId="2D21907B" w14:textId="74D4A0FB">
      <w:pPr>
        <w:spacing w:after="120"/>
        <w:jc w:val="both"/>
        <w:rPr>
          <w:rStyle w:val="normaltextrun"/>
          <w:rFonts w:cstheme="minorHAnsi"/>
          <w:bCs/>
          <w:color w:val="000000"/>
        </w:rPr>
      </w:pPr>
      <w:r>
        <w:rPr>
          <w:rStyle w:val="normaltextrun"/>
          <w:rFonts w:ascii="Calibri" w:hAnsi="Calibri" w:cs="Calibri"/>
          <w:bCs/>
          <w:color w:val="000000"/>
        </w:rPr>
        <w:t xml:space="preserve">Specifically, those seeking to access the DSB will be (at minimum) able to </w:t>
      </w:r>
      <w:r w:rsidRPr="008E271F" w:rsidR="007E12AC">
        <w:rPr>
          <w:rStyle w:val="normaltextrun"/>
          <w:rFonts w:cstheme="minorHAnsi"/>
          <w:bCs/>
          <w:color w:val="000000"/>
        </w:rPr>
        <w:t>us</w:t>
      </w:r>
      <w:r w:rsidR="007E12AC">
        <w:rPr>
          <w:rStyle w:val="normaltextrun"/>
          <w:rFonts w:cstheme="minorHAnsi"/>
          <w:bCs/>
          <w:color w:val="000000"/>
        </w:rPr>
        <w:t>e</w:t>
      </w:r>
      <w:r w:rsidRPr="008E271F">
        <w:rPr>
          <w:rStyle w:val="normaltextrun"/>
          <w:rFonts w:cstheme="minorHAnsi"/>
          <w:bCs/>
          <w:color w:val="000000"/>
        </w:rPr>
        <w:t xml:space="preserve"> one of the following m</w:t>
      </w:r>
      <w:r>
        <w:rPr>
          <w:rStyle w:val="normaltextrun"/>
          <w:rFonts w:cstheme="minorHAnsi"/>
          <w:bCs/>
          <w:color w:val="000000"/>
        </w:rPr>
        <w:t>echanisms</w:t>
      </w:r>
      <w:r w:rsidRPr="008E271F">
        <w:rPr>
          <w:rStyle w:val="normaltextrun"/>
          <w:rFonts w:cstheme="minorHAnsi"/>
          <w:bCs/>
          <w:color w:val="000000"/>
        </w:rPr>
        <w:t xml:space="preserve">: </w:t>
      </w:r>
    </w:p>
    <w:p w:rsidRPr="008E271F" w:rsidR="00CB4D06" w:rsidP="00CB4D06" w:rsidRDefault="00CB4D06" w14:paraId="5E9EE882" w14:textId="77777777">
      <w:pPr>
        <w:spacing w:after="0"/>
        <w:jc w:val="both"/>
        <w:rPr>
          <w:rStyle w:val="normaltextrun"/>
          <w:rFonts w:cstheme="minorHAnsi"/>
          <w:bCs/>
          <w:color w:val="000000"/>
        </w:rPr>
      </w:pPr>
      <w:r>
        <w:rPr>
          <w:rStyle w:val="normaltextrun"/>
          <w:rFonts w:cstheme="minorHAnsi"/>
          <w:bCs/>
          <w:color w:val="000000"/>
        </w:rPr>
        <w:t>Fee Paying:</w:t>
      </w:r>
    </w:p>
    <w:p w:rsidRPr="008C726A" w:rsidR="00CB4D06" w:rsidP="00CB4D06" w:rsidRDefault="00CB4D06" w14:paraId="114A9F64" w14:textId="77777777">
      <w:pPr>
        <w:pStyle w:val="paragraph"/>
        <w:numPr>
          <w:ilvl w:val="0"/>
          <w:numId w:val="42"/>
        </w:numPr>
        <w:spacing w:before="0" w:beforeAutospacing="0" w:after="0" w:afterAutospacing="0" w:line="276" w:lineRule="auto"/>
        <w:ind w:left="714" w:hanging="357"/>
        <w:jc w:val="both"/>
        <w:textAlignment w:val="baseline"/>
        <w:rPr>
          <w:rStyle w:val="normaltextrun"/>
          <w:rFonts w:asciiTheme="minorHAnsi" w:hAnsiTheme="minorHAnsi" w:cstheme="minorHAnsi"/>
          <w:bCs/>
          <w:color w:val="000000"/>
          <w:sz w:val="22"/>
          <w:szCs w:val="22"/>
        </w:rPr>
      </w:pPr>
      <w:r w:rsidRPr="00C11FE7">
        <w:rPr>
          <w:rStyle w:val="normaltextrun"/>
          <w:rFonts w:asciiTheme="minorHAnsi" w:hAnsiTheme="minorHAnsi" w:cstheme="minorHAnsi"/>
          <w:bCs/>
          <w:color w:val="000000"/>
          <w:sz w:val="22"/>
          <w:szCs w:val="22"/>
        </w:rPr>
        <w:t>Power User</w:t>
      </w:r>
      <w:r w:rsidRPr="008C726A">
        <w:rPr>
          <w:rStyle w:val="normaltextrun"/>
          <w:rFonts w:asciiTheme="minorHAnsi" w:hAnsiTheme="minorHAnsi" w:cstheme="minorHAnsi"/>
          <w:bCs/>
          <w:color w:val="000000"/>
          <w:sz w:val="22"/>
          <w:szCs w:val="22"/>
        </w:rPr>
        <w:t xml:space="preserve"> - Full Programmatic Access - Programmatically connect to create, search for and download data</w:t>
      </w:r>
      <w:r w:rsidRPr="008C726A" w:rsidDel="00364734">
        <w:rPr>
          <w:rStyle w:val="normaltextrun"/>
          <w:rFonts w:asciiTheme="minorHAnsi" w:hAnsiTheme="minorHAnsi" w:cstheme="minorHAnsi"/>
          <w:bCs/>
          <w:color w:val="000000"/>
          <w:sz w:val="22"/>
          <w:szCs w:val="22"/>
        </w:rPr>
        <w:t xml:space="preserve"> </w:t>
      </w:r>
    </w:p>
    <w:p w:rsidRPr="00364734" w:rsidR="00CB4D06" w:rsidP="00CB4D06" w:rsidRDefault="00CB4D06" w14:paraId="76D182D6" w14:textId="77777777">
      <w:pPr>
        <w:pStyle w:val="paragraph"/>
        <w:numPr>
          <w:ilvl w:val="0"/>
          <w:numId w:val="42"/>
        </w:numPr>
        <w:spacing w:before="0" w:beforeAutospacing="0" w:after="0" w:afterAutospacing="0" w:line="276" w:lineRule="auto"/>
        <w:ind w:left="714" w:hanging="357"/>
        <w:jc w:val="both"/>
        <w:textAlignment w:val="baseline"/>
        <w:rPr>
          <w:rStyle w:val="normaltextrun"/>
          <w:rFonts w:asciiTheme="minorHAnsi" w:hAnsiTheme="minorHAnsi" w:cstheme="minorHAnsi"/>
          <w:bCs/>
          <w:color w:val="000000"/>
          <w:sz w:val="22"/>
          <w:szCs w:val="22"/>
        </w:rPr>
      </w:pPr>
      <w:r w:rsidRPr="00364734">
        <w:rPr>
          <w:rStyle w:val="normaltextrun"/>
          <w:rFonts w:asciiTheme="minorHAnsi" w:hAnsiTheme="minorHAnsi" w:cstheme="minorHAnsi"/>
          <w:bCs/>
          <w:color w:val="000000"/>
          <w:sz w:val="22"/>
          <w:szCs w:val="22"/>
        </w:rPr>
        <w:t>Search-only API User - Limited Programmatic Access - Programmatically connect to search at a lower volume threshold than permitted for a Power User</w:t>
      </w:r>
    </w:p>
    <w:p w:rsidR="00CB4D06" w:rsidP="00CB4D06" w:rsidRDefault="00CB4D06" w14:paraId="5E953ED5" w14:textId="77777777">
      <w:pPr>
        <w:pStyle w:val="paragraph"/>
        <w:numPr>
          <w:ilvl w:val="0"/>
          <w:numId w:val="42"/>
        </w:numPr>
        <w:spacing w:before="0" w:beforeAutospacing="0" w:after="0" w:afterAutospacing="0" w:line="276" w:lineRule="auto"/>
        <w:ind w:left="714" w:hanging="357"/>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Standard User - </w:t>
      </w:r>
      <w:r w:rsidRPr="00A73418">
        <w:rPr>
          <w:rStyle w:val="normaltextrun"/>
          <w:rFonts w:asciiTheme="minorHAnsi" w:hAnsiTheme="minorHAnsi" w:cstheme="minorHAnsi"/>
          <w:bCs/>
          <w:color w:val="000000"/>
          <w:sz w:val="22"/>
          <w:szCs w:val="22"/>
        </w:rPr>
        <w:t>Manual Access - Manually connect to create, search for and download data</w:t>
      </w:r>
      <w:r>
        <w:rPr>
          <w:rStyle w:val="normaltextrun"/>
          <w:rFonts w:asciiTheme="minorHAnsi" w:hAnsiTheme="minorHAnsi" w:cstheme="minorHAnsi"/>
          <w:bCs/>
          <w:color w:val="000000"/>
          <w:sz w:val="22"/>
          <w:szCs w:val="22"/>
        </w:rPr>
        <w:t xml:space="preserve"> </w:t>
      </w:r>
    </w:p>
    <w:p w:rsidR="00CB4D06" w:rsidP="00CB4D06" w:rsidRDefault="00CB4D06" w14:paraId="1E984B38" w14:textId="77777777">
      <w:pPr>
        <w:pStyle w:val="paragraph"/>
        <w:numPr>
          <w:ilvl w:val="0"/>
          <w:numId w:val="42"/>
        </w:numPr>
        <w:spacing w:before="0" w:beforeAutospacing="0" w:after="0" w:afterAutospacing="0" w:line="276" w:lineRule="auto"/>
        <w:ind w:left="714" w:hanging="357"/>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Infrequent User - </w:t>
      </w:r>
      <w:r w:rsidRPr="00A73418">
        <w:rPr>
          <w:rStyle w:val="normaltextrun"/>
          <w:rFonts w:asciiTheme="minorHAnsi" w:hAnsiTheme="minorHAnsi" w:cstheme="minorHAnsi"/>
          <w:bCs/>
          <w:color w:val="000000"/>
          <w:sz w:val="22"/>
          <w:szCs w:val="22"/>
        </w:rPr>
        <w:t>Manual Access - Manually connect to create, search for and download data, at a lower volume threshold than permitted for a Standard User</w:t>
      </w:r>
    </w:p>
    <w:p w:rsidRPr="008E271F" w:rsidR="00CB4D06" w:rsidP="007E12AC" w:rsidRDefault="00CB4D06" w14:paraId="538A7504" w14:textId="77777777">
      <w:pPr>
        <w:pStyle w:val="paragraph"/>
        <w:spacing w:before="240" w:beforeAutospacing="0" w:after="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Non-Fee Paying:</w:t>
      </w:r>
    </w:p>
    <w:p w:rsidRPr="008E271F" w:rsidR="00CB4D06" w:rsidP="00CB4D06" w:rsidRDefault="00CB4D06" w14:paraId="01B7F3D9" w14:textId="77777777">
      <w:pPr>
        <w:pStyle w:val="paragraph"/>
        <w:numPr>
          <w:ilvl w:val="0"/>
          <w:numId w:val="42"/>
        </w:numPr>
        <w:spacing w:before="0" w:beforeAutospacing="0" w:after="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Registered User - </w:t>
      </w:r>
      <w:r w:rsidRPr="008E271F">
        <w:rPr>
          <w:rStyle w:val="normaltextrun"/>
          <w:rFonts w:asciiTheme="minorHAnsi" w:hAnsiTheme="minorHAnsi" w:cstheme="minorHAnsi"/>
          <w:bCs/>
          <w:color w:val="000000"/>
          <w:sz w:val="22"/>
          <w:szCs w:val="22"/>
        </w:rPr>
        <w:t>Manually connect to search for and download data</w:t>
      </w:r>
    </w:p>
    <w:p w:rsidR="00CB4D06" w:rsidP="00CF3B9D" w:rsidRDefault="00CB4D06" w14:paraId="51AC6B58" w14:textId="259F1FBB">
      <w:pPr>
        <w:pStyle w:val="paragraph"/>
        <w:numPr>
          <w:ilvl w:val="0"/>
          <w:numId w:val="42"/>
        </w:numPr>
        <w:spacing w:before="0" w:beforeAutospacing="0" w:after="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Registered User - </w:t>
      </w:r>
      <w:r w:rsidRPr="008E271F">
        <w:rPr>
          <w:rStyle w:val="normaltextrun"/>
          <w:rFonts w:asciiTheme="minorHAnsi" w:hAnsiTheme="minorHAnsi" w:cstheme="minorHAnsi"/>
          <w:bCs/>
          <w:color w:val="000000"/>
          <w:sz w:val="22"/>
          <w:szCs w:val="22"/>
        </w:rPr>
        <w:t xml:space="preserve">Manually or programmatically connect to download data from the file download service </w:t>
      </w:r>
      <w:r>
        <w:rPr>
          <w:rStyle w:val="normaltextrun"/>
          <w:rFonts w:asciiTheme="minorHAnsi" w:hAnsiTheme="minorHAnsi" w:cstheme="minorHAnsi"/>
          <w:bCs/>
          <w:color w:val="000000"/>
          <w:sz w:val="22"/>
          <w:szCs w:val="22"/>
        </w:rPr>
        <w:t xml:space="preserve"> </w:t>
      </w:r>
    </w:p>
    <w:p w:rsidRPr="00C812FC" w:rsidR="00CF3B9D" w:rsidP="00C812FC" w:rsidRDefault="00CF3B9D" w14:paraId="649118E1" w14:textId="77777777">
      <w:pPr>
        <w:pStyle w:val="paragraph"/>
        <w:spacing w:before="0" w:beforeAutospacing="0" w:after="0" w:afterAutospacing="0" w:line="276" w:lineRule="auto"/>
        <w:ind w:left="720"/>
        <w:jc w:val="both"/>
        <w:textAlignment w:val="baseline"/>
        <w:rPr>
          <w:rStyle w:val="normaltextrun"/>
          <w:rFonts w:asciiTheme="minorHAnsi" w:hAnsiTheme="minorHAnsi" w:cstheme="minorHAnsi"/>
          <w:color w:val="000000"/>
          <w:sz w:val="22"/>
          <w:szCs w:val="22"/>
        </w:rPr>
      </w:pPr>
    </w:p>
    <w:p w:rsidR="00F73E49" w:rsidP="00AB4C9D" w:rsidRDefault="00F73E49" w14:paraId="41506C5D" w14:textId="304009E8">
      <w:pPr>
        <w:spacing w:after="120"/>
        <w:jc w:val="both"/>
        <w:rPr>
          <w:bCs/>
        </w:rPr>
      </w:pPr>
      <w:r>
        <w:rPr>
          <w:rStyle w:val="normaltextrun"/>
          <w:rFonts w:ascii="Calibri" w:hAnsi="Calibri" w:cs="Calibri"/>
          <w:bCs/>
          <w:color w:val="000000"/>
        </w:rPr>
        <w:t>Additionally, t</w:t>
      </w:r>
      <w:r w:rsidRPr="008F652C">
        <w:rPr>
          <w:bCs/>
        </w:rPr>
        <w:t xml:space="preserve">he DSB is currently evaluating the </w:t>
      </w:r>
      <w:r>
        <w:rPr>
          <w:bCs/>
        </w:rPr>
        <w:t xml:space="preserve">request for complementary data distribution channels to be introduced at the launch of the UPI service </w:t>
      </w:r>
      <w:r w:rsidRPr="008F652C">
        <w:rPr>
          <w:bCs/>
        </w:rPr>
        <w:t xml:space="preserve">and </w:t>
      </w:r>
      <w:r>
        <w:rPr>
          <w:bCs/>
        </w:rPr>
        <w:t xml:space="preserve">is liaising with the </w:t>
      </w:r>
      <w:r w:rsidR="007E12AC">
        <w:rPr>
          <w:bCs/>
        </w:rPr>
        <w:t xml:space="preserve">DSB </w:t>
      </w:r>
      <w:r w:rsidRPr="008F652C">
        <w:rPr>
          <w:bCs/>
        </w:rPr>
        <w:t xml:space="preserve">TAC for a </w:t>
      </w:r>
      <w:r>
        <w:rPr>
          <w:bCs/>
        </w:rPr>
        <w:t>recommendation</w:t>
      </w:r>
      <w:r w:rsidRPr="008F652C">
        <w:rPr>
          <w:bCs/>
        </w:rPr>
        <w:t xml:space="preserve"> </w:t>
      </w:r>
      <w:r>
        <w:rPr>
          <w:bCs/>
        </w:rPr>
        <w:t>on whether and how these additional mechanisms should be introduced</w:t>
      </w:r>
      <w:r w:rsidRPr="008F652C">
        <w:rPr>
          <w:bCs/>
        </w:rPr>
        <w:t>.</w:t>
      </w:r>
      <w:r>
        <w:rPr>
          <w:bCs/>
        </w:rPr>
        <w:t xml:space="preserve"> An update will be provided in the final UPI consultation paper following the </w:t>
      </w:r>
      <w:r w:rsidR="008B0361">
        <w:rPr>
          <w:bCs/>
        </w:rPr>
        <w:t xml:space="preserve">DSB </w:t>
      </w:r>
      <w:r>
        <w:rPr>
          <w:bCs/>
        </w:rPr>
        <w:t xml:space="preserve">TAC’s review of the proposals. </w:t>
      </w:r>
    </w:p>
    <w:p w:rsidRPr="00E13F1E" w:rsidR="00F73E49" w:rsidP="00AB4C9D" w:rsidRDefault="00F73E49" w14:paraId="455A1463" w14:textId="77777777">
      <w:pPr>
        <w:spacing w:after="120"/>
        <w:jc w:val="both"/>
        <w:rPr>
          <w:rFonts w:ascii="Calibri" w:hAnsi="Calibri" w:cs="Calibri"/>
          <w:bCs/>
          <w:color w:val="000000"/>
        </w:rPr>
      </w:pPr>
    </w:p>
    <w:p w:rsidRPr="00E0247B" w:rsidR="00F73E49" w:rsidP="00E0247B" w:rsidRDefault="00D136F7" w14:paraId="50AA7FFE" w14:textId="0D6DC3AF">
      <w:pPr>
        <w:pStyle w:val="Heading2"/>
      </w:pPr>
      <w:bookmarkStart w:name="_Toc38982545" w:id="61"/>
      <w:bookmarkStart w:name="_Toc38982627" w:id="62"/>
      <w:bookmarkStart w:name="_Toc38982885" w:id="63"/>
      <w:bookmarkStart w:name="_Toc38983004" w:id="64"/>
      <w:bookmarkStart w:name="_Toc38983086" w:id="65"/>
      <w:bookmarkStart w:name="_Toc38983169" w:id="66"/>
      <w:bookmarkStart w:name="_Toc38983575" w:id="67"/>
      <w:bookmarkStart w:name="_Toc39061490" w:id="68"/>
      <w:bookmarkStart w:name="_Toc38982546" w:id="69"/>
      <w:bookmarkStart w:name="_Toc38982628" w:id="70"/>
      <w:bookmarkStart w:name="_Toc38982886" w:id="71"/>
      <w:bookmarkStart w:name="_Toc38983005" w:id="72"/>
      <w:bookmarkStart w:name="_Toc38983087" w:id="73"/>
      <w:bookmarkStart w:name="_Toc38983170" w:id="74"/>
      <w:bookmarkStart w:name="_Toc38983576" w:id="75"/>
      <w:bookmarkStart w:name="_Toc39061491" w:id="76"/>
      <w:bookmarkStart w:name="_Toc38982547" w:id="77"/>
      <w:bookmarkStart w:name="_Toc38982629" w:id="78"/>
      <w:bookmarkStart w:name="_Toc38982887" w:id="79"/>
      <w:bookmarkStart w:name="_Toc38983006" w:id="80"/>
      <w:bookmarkStart w:name="_Toc38983088" w:id="81"/>
      <w:bookmarkStart w:name="_Toc38983171" w:id="82"/>
      <w:bookmarkStart w:name="_Toc38983577" w:id="83"/>
      <w:bookmarkStart w:name="_Toc39061492" w:id="84"/>
      <w:bookmarkStart w:name="_Toc38982548" w:id="85"/>
      <w:bookmarkStart w:name="_Toc38982630" w:id="86"/>
      <w:bookmarkStart w:name="_Toc38982888" w:id="87"/>
      <w:bookmarkStart w:name="_Toc38983007" w:id="88"/>
      <w:bookmarkStart w:name="_Toc38983089" w:id="89"/>
      <w:bookmarkStart w:name="_Toc38983172" w:id="90"/>
      <w:bookmarkStart w:name="_Toc38983578" w:id="91"/>
      <w:bookmarkStart w:name="_Toc39061493" w:id="92"/>
      <w:bookmarkStart w:name="_Toc38982549" w:id="93"/>
      <w:bookmarkStart w:name="_Toc38982631" w:id="94"/>
      <w:bookmarkStart w:name="_Toc38982889" w:id="95"/>
      <w:bookmarkStart w:name="_Toc38983008" w:id="96"/>
      <w:bookmarkStart w:name="_Toc38983090" w:id="97"/>
      <w:bookmarkStart w:name="_Toc38983173" w:id="98"/>
      <w:bookmarkStart w:name="_Toc38983579" w:id="99"/>
      <w:bookmarkStart w:name="_Toc39061494" w:id="100"/>
      <w:bookmarkStart w:name="_Toc38982550" w:id="101"/>
      <w:bookmarkStart w:name="_Toc38982632" w:id="102"/>
      <w:bookmarkStart w:name="_Toc38982890" w:id="103"/>
      <w:bookmarkStart w:name="_Toc38983009" w:id="104"/>
      <w:bookmarkStart w:name="_Toc38983091" w:id="105"/>
      <w:bookmarkStart w:name="_Toc38983174" w:id="106"/>
      <w:bookmarkStart w:name="_Toc38983580" w:id="107"/>
      <w:bookmarkStart w:name="_Toc39061495" w:id="108"/>
      <w:bookmarkStart w:name="_Toc38982551" w:id="109"/>
      <w:bookmarkStart w:name="_Toc38982633" w:id="110"/>
      <w:bookmarkStart w:name="_Toc38982891" w:id="111"/>
      <w:bookmarkStart w:name="_Toc38983010" w:id="112"/>
      <w:bookmarkStart w:name="_Toc38983092" w:id="113"/>
      <w:bookmarkStart w:name="_Toc38983175" w:id="114"/>
      <w:bookmarkStart w:name="_Toc38983581" w:id="115"/>
      <w:bookmarkStart w:name="_Toc39061496" w:id="116"/>
      <w:bookmarkStart w:name="_Toc38982552" w:id="117"/>
      <w:bookmarkStart w:name="_Toc38982634" w:id="118"/>
      <w:bookmarkStart w:name="_Toc38982892" w:id="119"/>
      <w:bookmarkStart w:name="_Toc38983011" w:id="120"/>
      <w:bookmarkStart w:name="_Toc38983093" w:id="121"/>
      <w:bookmarkStart w:name="_Toc38983176" w:id="122"/>
      <w:bookmarkStart w:name="_Toc38983582" w:id="123"/>
      <w:bookmarkStart w:name="_Toc39061497" w:id="124"/>
      <w:bookmarkStart w:name="_Toc38982553" w:id="125"/>
      <w:bookmarkStart w:name="_Toc38982635" w:id="126"/>
      <w:bookmarkStart w:name="_Toc38982893" w:id="127"/>
      <w:bookmarkStart w:name="_Toc38983012" w:id="128"/>
      <w:bookmarkStart w:name="_Toc38983094" w:id="129"/>
      <w:bookmarkStart w:name="_Toc38983177" w:id="130"/>
      <w:bookmarkStart w:name="_Toc38983583" w:id="131"/>
      <w:bookmarkStart w:name="_Toc39061498" w:id="132"/>
      <w:bookmarkStart w:name="_Toc38982554" w:id="133"/>
      <w:bookmarkStart w:name="_Toc38982636" w:id="134"/>
      <w:bookmarkStart w:name="_Toc38982894" w:id="135"/>
      <w:bookmarkStart w:name="_Toc38983013" w:id="136"/>
      <w:bookmarkStart w:name="_Toc38983095" w:id="137"/>
      <w:bookmarkStart w:name="_Toc38983178" w:id="138"/>
      <w:bookmarkStart w:name="_Toc38983584" w:id="139"/>
      <w:bookmarkStart w:name="_Toc39061499" w:id="140"/>
      <w:bookmarkStart w:name="_Toc38982555" w:id="141"/>
      <w:bookmarkStart w:name="_Toc38982637" w:id="142"/>
      <w:bookmarkStart w:name="_Toc38982895" w:id="143"/>
      <w:bookmarkStart w:name="_Toc38983014" w:id="144"/>
      <w:bookmarkStart w:name="_Toc38983096" w:id="145"/>
      <w:bookmarkStart w:name="_Toc38983179" w:id="146"/>
      <w:bookmarkStart w:name="_Toc38983585" w:id="147"/>
      <w:bookmarkStart w:name="_Toc39061500" w:id="148"/>
      <w:bookmarkStart w:name="_Toc38982556" w:id="149"/>
      <w:bookmarkStart w:name="_Toc38982638" w:id="150"/>
      <w:bookmarkStart w:name="_Toc38982896" w:id="151"/>
      <w:bookmarkStart w:name="_Toc38983015" w:id="152"/>
      <w:bookmarkStart w:name="_Toc38983097" w:id="153"/>
      <w:bookmarkStart w:name="_Toc38983180" w:id="154"/>
      <w:bookmarkStart w:name="_Toc38983586" w:id="155"/>
      <w:bookmarkStart w:name="_Toc39061501" w:id="156"/>
      <w:bookmarkStart w:name="_Toc38982557" w:id="157"/>
      <w:bookmarkStart w:name="_Toc38982639" w:id="158"/>
      <w:bookmarkStart w:name="_Toc38982897" w:id="159"/>
      <w:bookmarkStart w:name="_Toc38983016" w:id="160"/>
      <w:bookmarkStart w:name="_Toc38983098" w:id="161"/>
      <w:bookmarkStart w:name="_Toc38983181" w:id="162"/>
      <w:bookmarkStart w:name="_Toc38983587" w:id="163"/>
      <w:bookmarkStart w:name="_Toc39061502" w:id="164"/>
      <w:bookmarkStart w:name="_Toc38982558" w:id="165"/>
      <w:bookmarkStart w:name="_Toc38982640" w:id="166"/>
      <w:bookmarkStart w:name="_Toc38982898" w:id="167"/>
      <w:bookmarkStart w:name="_Toc38983017" w:id="168"/>
      <w:bookmarkStart w:name="_Toc38983099" w:id="169"/>
      <w:bookmarkStart w:name="_Toc38983182" w:id="170"/>
      <w:bookmarkStart w:name="_Toc38983588" w:id="171"/>
      <w:bookmarkStart w:name="_Toc39061503" w:id="172"/>
      <w:bookmarkStart w:name="_Toc38982559" w:id="173"/>
      <w:bookmarkStart w:name="_Toc38982641" w:id="174"/>
      <w:bookmarkStart w:name="_Toc38982899" w:id="175"/>
      <w:bookmarkStart w:name="_Toc38983018" w:id="176"/>
      <w:bookmarkStart w:name="_Toc38983100" w:id="177"/>
      <w:bookmarkStart w:name="_Toc38983183" w:id="178"/>
      <w:bookmarkStart w:name="_Toc38983589" w:id="179"/>
      <w:bookmarkStart w:name="_Toc39061504" w:id="180"/>
      <w:bookmarkStart w:name="_Toc38982560" w:id="181"/>
      <w:bookmarkStart w:name="_Toc38982642" w:id="182"/>
      <w:bookmarkStart w:name="_Toc38982900" w:id="183"/>
      <w:bookmarkStart w:name="_Toc38983019" w:id="184"/>
      <w:bookmarkStart w:name="_Toc38983101" w:id="185"/>
      <w:bookmarkStart w:name="_Toc38983184" w:id="186"/>
      <w:bookmarkStart w:name="_Toc38983590" w:id="187"/>
      <w:bookmarkStart w:name="_Toc39061505" w:id="188"/>
      <w:bookmarkStart w:name="_Toc38982561" w:id="189"/>
      <w:bookmarkStart w:name="_Toc38982643" w:id="190"/>
      <w:bookmarkStart w:name="_Toc38982901" w:id="191"/>
      <w:bookmarkStart w:name="_Toc38983020" w:id="192"/>
      <w:bookmarkStart w:name="_Toc38983102" w:id="193"/>
      <w:bookmarkStart w:name="_Toc38983185" w:id="194"/>
      <w:bookmarkStart w:name="_Toc38983591" w:id="195"/>
      <w:bookmarkStart w:name="_Toc39061506" w:id="196"/>
      <w:bookmarkStart w:name="_Toc38982562" w:id="197"/>
      <w:bookmarkStart w:name="_Toc38982644" w:id="198"/>
      <w:bookmarkStart w:name="_Toc38982902" w:id="199"/>
      <w:bookmarkStart w:name="_Toc38983021" w:id="200"/>
      <w:bookmarkStart w:name="_Toc38983103" w:id="201"/>
      <w:bookmarkStart w:name="_Toc38983186" w:id="202"/>
      <w:bookmarkStart w:name="_Toc38983592" w:id="203"/>
      <w:bookmarkStart w:name="_Toc39061507" w:id="204"/>
      <w:bookmarkStart w:name="_Toc38982563" w:id="205"/>
      <w:bookmarkStart w:name="_Toc38982645" w:id="206"/>
      <w:bookmarkStart w:name="_Toc38982903" w:id="207"/>
      <w:bookmarkStart w:name="_Toc38983022" w:id="208"/>
      <w:bookmarkStart w:name="_Toc38983104" w:id="209"/>
      <w:bookmarkStart w:name="_Toc38983187" w:id="210"/>
      <w:bookmarkStart w:name="_Toc38983593" w:id="211"/>
      <w:bookmarkStart w:name="_Toc39061508" w:id="212"/>
      <w:bookmarkStart w:name="_Toc38982564" w:id="213"/>
      <w:bookmarkStart w:name="_Toc38982646" w:id="214"/>
      <w:bookmarkStart w:name="_Toc38982904" w:id="215"/>
      <w:bookmarkStart w:name="_Toc38983023" w:id="216"/>
      <w:bookmarkStart w:name="_Toc38983105" w:id="217"/>
      <w:bookmarkStart w:name="_Toc38983188" w:id="218"/>
      <w:bookmarkStart w:name="_Toc38983594" w:id="219"/>
      <w:bookmarkStart w:name="_Toc39061509" w:id="220"/>
      <w:bookmarkStart w:name="_Toc38982565" w:id="221"/>
      <w:bookmarkStart w:name="_Toc38982647" w:id="222"/>
      <w:bookmarkStart w:name="_Toc38982905" w:id="223"/>
      <w:bookmarkStart w:name="_Toc38983024" w:id="224"/>
      <w:bookmarkStart w:name="_Toc38983106" w:id="225"/>
      <w:bookmarkStart w:name="_Toc38983189" w:id="226"/>
      <w:bookmarkStart w:name="_Toc38983595" w:id="227"/>
      <w:bookmarkStart w:name="_Toc39061510" w:id="228"/>
      <w:bookmarkStart w:name="_Toc38982566" w:id="229"/>
      <w:bookmarkStart w:name="_Toc38982648" w:id="230"/>
      <w:bookmarkStart w:name="_Toc38982906" w:id="231"/>
      <w:bookmarkStart w:name="_Toc38983025" w:id="232"/>
      <w:bookmarkStart w:name="_Toc38983107" w:id="233"/>
      <w:bookmarkStart w:name="_Toc38983190" w:id="234"/>
      <w:bookmarkStart w:name="_Toc38983596" w:id="235"/>
      <w:bookmarkStart w:name="_Toc39061511" w:id="236"/>
      <w:bookmarkStart w:name="_Toc38982567" w:id="237"/>
      <w:bookmarkStart w:name="_Toc38982649" w:id="238"/>
      <w:bookmarkStart w:name="_Toc38982907" w:id="239"/>
      <w:bookmarkStart w:name="_Toc38983026" w:id="240"/>
      <w:bookmarkStart w:name="_Toc38983108" w:id="241"/>
      <w:bookmarkStart w:name="_Toc38983191" w:id="242"/>
      <w:bookmarkStart w:name="_Toc38983597" w:id="243"/>
      <w:bookmarkStart w:name="_Toc39061512" w:id="244"/>
      <w:bookmarkStart w:name="_Toc38982568" w:id="245"/>
      <w:bookmarkStart w:name="_Toc38982650" w:id="246"/>
      <w:bookmarkStart w:name="_Toc38982908" w:id="247"/>
      <w:bookmarkStart w:name="_Toc38983027" w:id="248"/>
      <w:bookmarkStart w:name="_Toc38983109" w:id="249"/>
      <w:bookmarkStart w:name="_Toc38983192" w:id="250"/>
      <w:bookmarkStart w:name="_Toc38983598" w:id="251"/>
      <w:bookmarkStart w:name="_Toc39061513" w:id="252"/>
      <w:bookmarkStart w:name="_Toc38982569" w:id="253"/>
      <w:bookmarkStart w:name="_Toc38982651" w:id="254"/>
      <w:bookmarkStart w:name="_Toc38982909" w:id="255"/>
      <w:bookmarkStart w:name="_Toc38983028" w:id="256"/>
      <w:bookmarkStart w:name="_Toc38983110" w:id="257"/>
      <w:bookmarkStart w:name="_Toc38983193" w:id="258"/>
      <w:bookmarkStart w:name="_Toc38983599" w:id="259"/>
      <w:bookmarkStart w:name="_Toc39061514" w:id="260"/>
      <w:bookmarkStart w:name="_Toc38982570" w:id="261"/>
      <w:bookmarkStart w:name="_Toc38982652" w:id="262"/>
      <w:bookmarkStart w:name="_Toc38982910" w:id="263"/>
      <w:bookmarkStart w:name="_Toc38983029" w:id="264"/>
      <w:bookmarkStart w:name="_Toc38983111" w:id="265"/>
      <w:bookmarkStart w:name="_Toc38983194" w:id="266"/>
      <w:bookmarkStart w:name="_Toc38983600" w:id="267"/>
      <w:bookmarkStart w:name="_Toc39061515" w:id="268"/>
      <w:bookmarkStart w:name="_Toc38982571" w:id="269"/>
      <w:bookmarkStart w:name="_Toc38982653" w:id="270"/>
      <w:bookmarkStart w:name="_Toc38982911" w:id="271"/>
      <w:bookmarkStart w:name="_Toc38983030" w:id="272"/>
      <w:bookmarkStart w:name="_Toc38983112" w:id="273"/>
      <w:bookmarkStart w:name="_Toc38983195" w:id="274"/>
      <w:bookmarkStart w:name="_Toc38983601" w:id="275"/>
      <w:bookmarkStart w:name="_Toc39061516" w:id="276"/>
      <w:bookmarkStart w:name="_Toc38982572" w:id="277"/>
      <w:bookmarkStart w:name="_Toc38982654" w:id="278"/>
      <w:bookmarkStart w:name="_Toc38982912" w:id="279"/>
      <w:bookmarkStart w:name="_Toc38983031" w:id="280"/>
      <w:bookmarkStart w:name="_Toc38983113" w:id="281"/>
      <w:bookmarkStart w:name="_Toc38983196" w:id="282"/>
      <w:bookmarkStart w:name="_Toc38983602" w:id="283"/>
      <w:bookmarkStart w:name="_Toc39061517" w:id="284"/>
      <w:bookmarkStart w:name="_Toc38982573" w:id="285"/>
      <w:bookmarkStart w:name="_Toc38982655" w:id="286"/>
      <w:bookmarkStart w:name="_Toc38982913" w:id="287"/>
      <w:bookmarkStart w:name="_Toc38983032" w:id="288"/>
      <w:bookmarkStart w:name="_Toc38983114" w:id="289"/>
      <w:bookmarkStart w:name="_Toc38983197" w:id="290"/>
      <w:bookmarkStart w:name="_Toc38983603" w:id="291"/>
      <w:bookmarkStart w:name="_Toc39061518" w:id="292"/>
      <w:bookmarkStart w:name="_Toc38982574" w:id="293"/>
      <w:bookmarkStart w:name="_Toc38982656" w:id="294"/>
      <w:bookmarkStart w:name="_Toc38982914" w:id="295"/>
      <w:bookmarkStart w:name="_Toc38983033" w:id="296"/>
      <w:bookmarkStart w:name="_Toc38983115" w:id="297"/>
      <w:bookmarkStart w:name="_Toc38983198" w:id="298"/>
      <w:bookmarkStart w:name="_Toc38983604" w:id="299"/>
      <w:bookmarkStart w:name="_Toc39061519" w:id="300"/>
      <w:bookmarkStart w:name="_Toc38982575" w:id="301"/>
      <w:bookmarkStart w:name="_Toc38982657" w:id="302"/>
      <w:bookmarkStart w:name="_Toc38982915" w:id="303"/>
      <w:bookmarkStart w:name="_Toc38983034" w:id="304"/>
      <w:bookmarkStart w:name="_Toc38983116" w:id="305"/>
      <w:bookmarkStart w:name="_Toc38983199" w:id="306"/>
      <w:bookmarkStart w:name="_Toc38983605" w:id="307"/>
      <w:bookmarkStart w:name="_Toc39061520" w:id="308"/>
      <w:bookmarkStart w:name="_Toc38982576" w:id="309"/>
      <w:bookmarkStart w:name="_Toc38982658" w:id="310"/>
      <w:bookmarkStart w:name="_Toc38982916" w:id="311"/>
      <w:bookmarkStart w:name="_Toc38983035" w:id="312"/>
      <w:bookmarkStart w:name="_Toc38983117" w:id="313"/>
      <w:bookmarkStart w:name="_Toc38983200" w:id="314"/>
      <w:bookmarkStart w:name="_Toc38983606" w:id="315"/>
      <w:bookmarkStart w:name="_Toc39061521" w:id="316"/>
      <w:bookmarkStart w:name="_Toc38982577" w:id="317"/>
      <w:bookmarkStart w:name="_Toc38982659" w:id="318"/>
      <w:bookmarkStart w:name="_Toc38982917" w:id="319"/>
      <w:bookmarkStart w:name="_Toc38983036" w:id="320"/>
      <w:bookmarkStart w:name="_Toc38983118" w:id="321"/>
      <w:bookmarkStart w:name="_Toc38983201" w:id="322"/>
      <w:bookmarkStart w:name="_Toc38983607" w:id="323"/>
      <w:bookmarkStart w:name="_Toc39061522" w:id="324"/>
      <w:bookmarkStart w:name="_Toc38982578" w:id="325"/>
      <w:bookmarkStart w:name="_Toc38982660" w:id="326"/>
      <w:bookmarkStart w:name="_Toc38982918" w:id="327"/>
      <w:bookmarkStart w:name="_Toc38983037" w:id="328"/>
      <w:bookmarkStart w:name="_Toc38983119" w:id="329"/>
      <w:bookmarkStart w:name="_Toc38983202" w:id="330"/>
      <w:bookmarkStart w:name="_Toc38983608" w:id="331"/>
      <w:bookmarkStart w:name="_Toc39061523" w:id="332"/>
      <w:bookmarkStart w:name="_Toc38982579" w:id="333"/>
      <w:bookmarkStart w:name="_Toc38982661" w:id="334"/>
      <w:bookmarkStart w:name="_Toc38982919" w:id="335"/>
      <w:bookmarkStart w:name="_Toc38983038" w:id="336"/>
      <w:bookmarkStart w:name="_Toc38983120" w:id="337"/>
      <w:bookmarkStart w:name="_Toc38983203" w:id="338"/>
      <w:bookmarkStart w:name="_Toc38983609" w:id="339"/>
      <w:bookmarkStart w:name="_Toc39061524" w:id="340"/>
      <w:bookmarkStart w:name="_Toc38982580" w:id="341"/>
      <w:bookmarkStart w:name="_Toc38982662" w:id="342"/>
      <w:bookmarkStart w:name="_Toc38982920" w:id="343"/>
      <w:bookmarkStart w:name="_Toc38983039" w:id="344"/>
      <w:bookmarkStart w:name="_Toc38983121" w:id="345"/>
      <w:bookmarkStart w:name="_Toc38983204" w:id="346"/>
      <w:bookmarkStart w:name="_Toc38983610" w:id="347"/>
      <w:bookmarkStart w:name="_Toc39061525" w:id="348"/>
      <w:bookmarkStart w:name="_Toc38982581" w:id="349"/>
      <w:bookmarkStart w:name="_Toc38982663" w:id="350"/>
      <w:bookmarkStart w:name="_Toc38982921" w:id="351"/>
      <w:bookmarkStart w:name="_Toc38983040" w:id="352"/>
      <w:bookmarkStart w:name="_Toc38983122" w:id="353"/>
      <w:bookmarkStart w:name="_Toc38983205" w:id="354"/>
      <w:bookmarkStart w:name="_Toc38983611" w:id="355"/>
      <w:bookmarkStart w:name="_Toc39061526" w:id="356"/>
      <w:bookmarkStart w:name="_Toc38982582" w:id="357"/>
      <w:bookmarkStart w:name="_Toc38982664" w:id="358"/>
      <w:bookmarkStart w:name="_Toc38982922" w:id="359"/>
      <w:bookmarkStart w:name="_Toc38983041" w:id="360"/>
      <w:bookmarkStart w:name="_Toc38983123" w:id="361"/>
      <w:bookmarkStart w:name="_Toc38983206" w:id="362"/>
      <w:bookmarkStart w:name="_Toc38983612" w:id="363"/>
      <w:bookmarkStart w:name="_Toc39061527" w:id="364"/>
      <w:bookmarkStart w:name="_Toc38982583" w:id="365"/>
      <w:bookmarkStart w:name="_Toc38982665" w:id="366"/>
      <w:bookmarkStart w:name="_Toc38982923" w:id="367"/>
      <w:bookmarkStart w:name="_Toc38983042" w:id="368"/>
      <w:bookmarkStart w:name="_Toc38983124" w:id="369"/>
      <w:bookmarkStart w:name="_Toc38983207" w:id="370"/>
      <w:bookmarkStart w:name="_Toc38983613" w:id="371"/>
      <w:bookmarkStart w:name="_Toc39061528" w:id="372"/>
      <w:bookmarkStart w:name="_Toc38982584" w:id="373"/>
      <w:bookmarkStart w:name="_Toc38982666" w:id="374"/>
      <w:bookmarkStart w:name="_Toc38982924" w:id="375"/>
      <w:bookmarkStart w:name="_Toc38983043" w:id="376"/>
      <w:bookmarkStart w:name="_Toc38983125" w:id="377"/>
      <w:bookmarkStart w:name="_Toc38983208" w:id="378"/>
      <w:bookmarkStart w:name="_Toc38983614" w:id="379"/>
      <w:bookmarkStart w:name="_Toc39061529" w:id="380"/>
      <w:bookmarkStart w:name="_Toc38982585" w:id="381"/>
      <w:bookmarkStart w:name="_Toc38982667" w:id="382"/>
      <w:bookmarkStart w:name="_Toc38982925" w:id="383"/>
      <w:bookmarkStart w:name="_Toc38983044" w:id="384"/>
      <w:bookmarkStart w:name="_Toc38983126" w:id="385"/>
      <w:bookmarkStart w:name="_Toc38983209" w:id="386"/>
      <w:bookmarkStart w:name="_Toc38983615" w:id="387"/>
      <w:bookmarkStart w:name="_Toc39061530" w:id="388"/>
      <w:bookmarkStart w:name="_Toc38982586" w:id="389"/>
      <w:bookmarkStart w:name="_Toc38982668" w:id="390"/>
      <w:bookmarkStart w:name="_Toc38982926" w:id="391"/>
      <w:bookmarkStart w:name="_Toc38983045" w:id="392"/>
      <w:bookmarkStart w:name="_Toc38983127" w:id="393"/>
      <w:bookmarkStart w:name="_Toc38983210" w:id="394"/>
      <w:bookmarkStart w:name="_Toc38983616" w:id="395"/>
      <w:bookmarkStart w:name="_Toc39061531" w:id="396"/>
      <w:bookmarkStart w:name="_Toc38982587" w:id="397"/>
      <w:bookmarkStart w:name="_Toc38982669" w:id="398"/>
      <w:bookmarkStart w:name="_Toc38982927" w:id="399"/>
      <w:bookmarkStart w:name="_Toc38983046" w:id="400"/>
      <w:bookmarkStart w:name="_Toc38983128" w:id="401"/>
      <w:bookmarkStart w:name="_Toc38983211" w:id="402"/>
      <w:bookmarkStart w:name="_Toc38983617" w:id="403"/>
      <w:bookmarkStart w:name="_Toc39061532" w:id="404"/>
      <w:bookmarkStart w:name="_Toc38982588" w:id="405"/>
      <w:bookmarkStart w:name="_Toc38982670" w:id="406"/>
      <w:bookmarkStart w:name="_Toc38982928" w:id="407"/>
      <w:bookmarkStart w:name="_Toc38983047" w:id="408"/>
      <w:bookmarkStart w:name="_Toc38983129" w:id="409"/>
      <w:bookmarkStart w:name="_Toc38983212" w:id="410"/>
      <w:bookmarkStart w:name="_Toc38983618" w:id="411"/>
      <w:bookmarkStart w:name="_Toc39061533" w:id="412"/>
      <w:bookmarkStart w:name="_Toc38982589" w:id="413"/>
      <w:bookmarkStart w:name="_Toc38982671" w:id="414"/>
      <w:bookmarkStart w:name="_Toc38982929" w:id="415"/>
      <w:bookmarkStart w:name="_Toc38983048" w:id="416"/>
      <w:bookmarkStart w:name="_Toc38983130" w:id="417"/>
      <w:bookmarkStart w:name="_Toc38983213" w:id="418"/>
      <w:bookmarkStart w:name="_Toc38983619" w:id="419"/>
      <w:bookmarkStart w:name="_Toc39061534" w:id="420"/>
      <w:bookmarkStart w:name="_Toc38982590" w:id="421"/>
      <w:bookmarkStart w:name="_Toc38982672" w:id="422"/>
      <w:bookmarkStart w:name="_Toc38982930" w:id="423"/>
      <w:bookmarkStart w:name="_Toc38983049" w:id="424"/>
      <w:bookmarkStart w:name="_Toc38983131" w:id="425"/>
      <w:bookmarkStart w:name="_Toc38983214" w:id="426"/>
      <w:bookmarkStart w:name="_Toc38983620" w:id="427"/>
      <w:bookmarkStart w:name="_Toc39061535" w:id="428"/>
      <w:bookmarkStart w:name="_Toc38982591" w:id="429"/>
      <w:bookmarkStart w:name="_Toc38982673" w:id="430"/>
      <w:bookmarkStart w:name="_Toc38982931" w:id="431"/>
      <w:bookmarkStart w:name="_Toc38983050" w:id="432"/>
      <w:bookmarkStart w:name="_Toc38983132" w:id="433"/>
      <w:bookmarkStart w:name="_Toc38983215" w:id="434"/>
      <w:bookmarkStart w:name="_Toc38983621" w:id="435"/>
      <w:bookmarkStart w:name="_Toc39061536" w:id="436"/>
      <w:bookmarkStart w:name="_Toc38982592" w:id="437"/>
      <w:bookmarkStart w:name="_Toc38982674" w:id="438"/>
      <w:bookmarkStart w:name="_Toc38982932" w:id="439"/>
      <w:bookmarkStart w:name="_Toc38983051" w:id="440"/>
      <w:bookmarkStart w:name="_Toc38983133" w:id="441"/>
      <w:bookmarkStart w:name="_Toc38983216" w:id="442"/>
      <w:bookmarkStart w:name="_Toc38983622" w:id="443"/>
      <w:bookmarkStart w:name="_Toc39061537" w:id="444"/>
      <w:bookmarkStart w:name="_Toc38982593" w:id="445"/>
      <w:bookmarkStart w:name="_Toc38982675" w:id="446"/>
      <w:bookmarkStart w:name="_Toc38982933" w:id="447"/>
      <w:bookmarkStart w:name="_Toc38983052" w:id="448"/>
      <w:bookmarkStart w:name="_Toc38983134" w:id="449"/>
      <w:bookmarkStart w:name="_Toc38983217" w:id="450"/>
      <w:bookmarkStart w:name="_Toc38983623" w:id="451"/>
      <w:bookmarkStart w:name="_Toc39061538" w:id="452"/>
      <w:bookmarkStart w:name="_Toc38982594" w:id="453"/>
      <w:bookmarkStart w:name="_Toc38982676" w:id="454"/>
      <w:bookmarkStart w:name="_Toc38982934" w:id="455"/>
      <w:bookmarkStart w:name="_Toc38983053" w:id="456"/>
      <w:bookmarkStart w:name="_Toc38983135" w:id="457"/>
      <w:bookmarkStart w:name="_Toc38983218" w:id="458"/>
      <w:bookmarkStart w:name="_Toc38983624" w:id="459"/>
      <w:bookmarkStart w:name="_Toc39061539" w:id="460"/>
      <w:bookmarkStart w:name="_Toc38982595" w:id="461"/>
      <w:bookmarkStart w:name="_Toc38982677" w:id="462"/>
      <w:bookmarkStart w:name="_Toc38982935" w:id="463"/>
      <w:bookmarkStart w:name="_Toc38983054" w:id="464"/>
      <w:bookmarkStart w:name="_Toc38983136" w:id="465"/>
      <w:bookmarkStart w:name="_Toc38983219" w:id="466"/>
      <w:bookmarkStart w:name="_Toc38983625" w:id="467"/>
      <w:bookmarkStart w:name="_Toc39061540" w:id="468"/>
      <w:bookmarkStart w:name="_Toc38982596" w:id="469"/>
      <w:bookmarkStart w:name="_Toc38982678" w:id="470"/>
      <w:bookmarkStart w:name="_Toc38982936" w:id="471"/>
      <w:bookmarkStart w:name="_Toc38983055" w:id="472"/>
      <w:bookmarkStart w:name="_Toc38983137" w:id="473"/>
      <w:bookmarkStart w:name="_Toc38983220" w:id="474"/>
      <w:bookmarkStart w:name="_Toc38983626" w:id="475"/>
      <w:bookmarkStart w:name="_Toc39061541" w:id="476"/>
      <w:bookmarkStart w:name="_Toc38982597" w:id="477"/>
      <w:bookmarkStart w:name="_Toc38982679" w:id="478"/>
      <w:bookmarkStart w:name="_Toc38982937" w:id="479"/>
      <w:bookmarkStart w:name="_Toc38983056" w:id="480"/>
      <w:bookmarkStart w:name="_Toc38983138" w:id="481"/>
      <w:bookmarkStart w:name="_Toc38983221" w:id="482"/>
      <w:bookmarkStart w:name="_Toc38983627" w:id="483"/>
      <w:bookmarkStart w:name="_Toc39061542" w:id="484"/>
      <w:bookmarkStart w:name="_Toc38982598" w:id="485"/>
      <w:bookmarkStart w:name="_Toc38982680" w:id="486"/>
      <w:bookmarkStart w:name="_Toc38982938" w:id="487"/>
      <w:bookmarkStart w:name="_Toc38983057" w:id="488"/>
      <w:bookmarkStart w:name="_Toc38983139" w:id="489"/>
      <w:bookmarkStart w:name="_Toc38983222" w:id="490"/>
      <w:bookmarkStart w:name="_Toc38983628" w:id="491"/>
      <w:bookmarkStart w:name="_Toc39061543" w:id="492"/>
      <w:bookmarkStart w:name="_Toc38982599" w:id="493"/>
      <w:bookmarkStart w:name="_Toc38982681" w:id="494"/>
      <w:bookmarkStart w:name="_Toc38982939" w:id="495"/>
      <w:bookmarkStart w:name="_Toc38983058" w:id="496"/>
      <w:bookmarkStart w:name="_Toc38983140" w:id="497"/>
      <w:bookmarkStart w:name="_Toc38983223" w:id="498"/>
      <w:bookmarkStart w:name="_Toc38983629" w:id="499"/>
      <w:bookmarkStart w:name="_Toc39061544" w:id="500"/>
      <w:bookmarkStart w:name="_Toc38982600" w:id="501"/>
      <w:bookmarkStart w:name="_Toc38982682" w:id="502"/>
      <w:bookmarkStart w:name="_Toc38982940" w:id="503"/>
      <w:bookmarkStart w:name="_Toc38983059" w:id="504"/>
      <w:bookmarkStart w:name="_Toc38983141" w:id="505"/>
      <w:bookmarkStart w:name="_Toc38983224" w:id="506"/>
      <w:bookmarkStart w:name="_Toc38983630" w:id="507"/>
      <w:bookmarkStart w:name="_Toc39061545" w:id="508"/>
      <w:bookmarkStart w:name="_Toc38982601" w:id="509"/>
      <w:bookmarkStart w:name="_Toc38982683" w:id="510"/>
      <w:bookmarkStart w:name="_Toc38982941" w:id="511"/>
      <w:bookmarkStart w:name="_Toc38983060" w:id="512"/>
      <w:bookmarkStart w:name="_Toc38983142" w:id="513"/>
      <w:bookmarkStart w:name="_Toc38983225" w:id="514"/>
      <w:bookmarkStart w:name="_Toc38983631" w:id="515"/>
      <w:bookmarkStart w:name="_Toc39061546" w:id="516"/>
      <w:bookmarkStart w:name="_Toc60651788" w:id="517"/>
      <w:bookmarkStart w:name="_Ref60652486" w:id="518"/>
      <w:bookmarkStart w:name="_Ref68603003" w:id="519"/>
      <w:bookmarkStart w:name="_Toc69801998" w:id="520"/>
      <w:bookmarkStart w:name="_Toc71369591" w:id="521"/>
      <w:bookmarkStart w:name="_Toc38842412" w:id="522"/>
      <w:bookmarkStart w:name="_Ref39061181" w:id="523"/>
      <w:bookmarkStart w:name="_Ref13043910" w:id="524"/>
      <w:bookmarkStart w:name="_Toc13087159" w:id="525"/>
      <w:bookmarkEnd w:id="31"/>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Pr>
          <w:noProof/>
        </w:rPr>
        <mc:AlternateContent>
          <mc:Choice Requires="wps">
            <w:drawing>
              <wp:anchor distT="45720" distB="45720" distL="114300" distR="114300" simplePos="0" relativeHeight="251658243" behindDoc="0" locked="0" layoutInCell="1" allowOverlap="1" wp14:anchorId="78FF97D8" wp14:editId="5BA2E6F8">
                <wp:simplePos x="0" y="0"/>
                <wp:positionH relativeFrom="margin">
                  <wp:posOffset>31115</wp:posOffset>
                </wp:positionH>
                <wp:positionV relativeFrom="paragraph">
                  <wp:posOffset>314960</wp:posOffset>
                </wp:positionV>
                <wp:extent cx="5716905" cy="1986280"/>
                <wp:effectExtent l="0" t="0" r="17145" b="139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986280"/>
                        </a:xfrm>
                        <a:prstGeom prst="rect">
                          <a:avLst/>
                        </a:prstGeom>
                        <a:solidFill>
                          <a:srgbClr val="FFFFFF"/>
                        </a:solidFill>
                        <a:ln w="9525">
                          <a:solidFill>
                            <a:srgbClr val="04AEB9"/>
                          </a:solidFill>
                          <a:miter lim="800000"/>
                          <a:headEnd/>
                          <a:tailEnd/>
                        </a:ln>
                      </wps:spPr>
                      <wps:txbx>
                        <w:txbxContent>
                          <w:p w:rsidR="00DC30A4" w:rsidP="001456B9" w:rsidRDefault="00185AC3" w14:paraId="0EC28F39" w14:textId="1EB27258">
                            <w:pPr>
                              <w:jc w:val="both"/>
                              <w:rPr>
                                <w:rStyle w:val="normaltextrun"/>
                                <w:rFonts w:ascii="Calibri" w:hAnsi="Calibri" w:cs="Calibri"/>
                                <w:color w:val="000000"/>
                              </w:rPr>
                            </w:pPr>
                            <w:r>
                              <w:rPr>
                                <w:rStyle w:val="normaltextrun"/>
                                <w:rFonts w:ascii="Calibri" w:hAnsi="Calibri" w:cs="Calibri"/>
                                <w:b/>
                                <w:bCs/>
                                <w:color w:val="000000"/>
                              </w:rPr>
                              <w:t xml:space="preserve">Summary: </w:t>
                            </w:r>
                            <w:r w:rsidRPr="001165C9" w:rsidR="001165C9">
                              <w:rPr>
                                <w:rStyle w:val="normaltextrun"/>
                                <w:rFonts w:ascii="Calibri" w:hAnsi="Calibri" w:cs="Calibri"/>
                                <w:color w:val="000000"/>
                              </w:rPr>
                              <w:t xml:space="preserve">The DSB is proposing to make the </w:t>
                            </w:r>
                            <w:r w:rsidR="00C4646D">
                              <w:rPr>
                                <w:rStyle w:val="normaltextrun"/>
                                <w:rFonts w:ascii="Calibri" w:hAnsi="Calibri" w:cs="Calibri"/>
                                <w:color w:val="000000"/>
                              </w:rPr>
                              <w:t xml:space="preserve">OTC </w:t>
                            </w:r>
                            <w:r w:rsidRPr="001165C9" w:rsidR="001165C9">
                              <w:rPr>
                                <w:rStyle w:val="normaltextrun"/>
                                <w:rFonts w:ascii="Calibri" w:hAnsi="Calibri" w:cs="Calibri"/>
                                <w:color w:val="000000"/>
                              </w:rPr>
                              <w:t xml:space="preserve">ISIN record </w:t>
                            </w:r>
                            <w:r w:rsidR="00DC26E0">
                              <w:rPr>
                                <w:rStyle w:val="normaltextrun"/>
                                <w:rFonts w:ascii="Calibri" w:hAnsi="Calibri" w:cs="Calibri"/>
                                <w:color w:val="000000"/>
                              </w:rPr>
                              <w:t>including the</w:t>
                            </w:r>
                            <w:r w:rsidRPr="001165C9" w:rsidR="001165C9">
                              <w:rPr>
                                <w:rStyle w:val="normaltextrun"/>
                                <w:rFonts w:ascii="Calibri" w:hAnsi="Calibri" w:cs="Calibri"/>
                                <w:color w:val="000000"/>
                              </w:rPr>
                              <w:t xml:space="preserve"> UPI code freely available at T+</w:t>
                            </w:r>
                            <w:r w:rsidR="000E7803">
                              <w:rPr>
                                <w:rStyle w:val="normaltextrun"/>
                                <w:rFonts w:ascii="Calibri" w:hAnsi="Calibri" w:cs="Calibri"/>
                                <w:color w:val="000000"/>
                              </w:rPr>
                              <w:t>0</w:t>
                            </w:r>
                            <w:r w:rsidR="00DB49AE">
                              <w:rPr>
                                <w:rStyle w:val="normaltextrun"/>
                                <w:rFonts w:ascii="Calibri" w:hAnsi="Calibri" w:cs="Calibri"/>
                                <w:color w:val="000000"/>
                              </w:rPr>
                              <w:t xml:space="preserve"> </w:t>
                            </w:r>
                            <w:r w:rsidR="000E7803">
                              <w:rPr>
                                <w:rStyle w:val="normaltextrun"/>
                                <w:rFonts w:ascii="Calibri" w:hAnsi="Calibri" w:cs="Calibri"/>
                                <w:color w:val="000000"/>
                              </w:rPr>
                              <w:t>23</w:t>
                            </w:r>
                            <w:r w:rsidR="000730BB">
                              <w:rPr>
                                <w:rStyle w:val="normaltextrun"/>
                                <w:rFonts w:ascii="Calibri" w:hAnsi="Calibri" w:cs="Calibri"/>
                                <w:color w:val="000000"/>
                              </w:rPr>
                              <w:t>.</w:t>
                            </w:r>
                            <w:r w:rsidR="000E7803">
                              <w:rPr>
                                <w:rStyle w:val="normaltextrun"/>
                                <w:rFonts w:ascii="Calibri" w:hAnsi="Calibri" w:cs="Calibri"/>
                                <w:color w:val="000000"/>
                              </w:rPr>
                              <w:t>5</w:t>
                            </w:r>
                            <w:r w:rsidR="000730BB">
                              <w:rPr>
                                <w:rStyle w:val="normaltextrun"/>
                                <w:rFonts w:ascii="Calibri" w:hAnsi="Calibri" w:cs="Calibri"/>
                                <w:color w:val="000000"/>
                              </w:rPr>
                              <w:t>5hrs</w:t>
                            </w:r>
                            <w:r w:rsidRPr="001165C9" w:rsidDel="00DB49AE" w:rsidR="001165C9">
                              <w:rPr>
                                <w:rStyle w:val="normaltextrun"/>
                                <w:rFonts w:ascii="Calibri" w:hAnsi="Calibri" w:cs="Calibri"/>
                                <w:color w:val="000000"/>
                              </w:rPr>
                              <w:t xml:space="preserve"> UTC</w:t>
                            </w:r>
                            <w:r w:rsidR="00DB49AE">
                              <w:rPr>
                                <w:rStyle w:val="normaltextrun"/>
                                <w:rFonts w:ascii="Calibri" w:hAnsi="Calibri" w:cs="Calibri"/>
                                <w:color w:val="000000"/>
                              </w:rPr>
                              <w:t xml:space="preserve"> </w:t>
                            </w:r>
                            <w:r w:rsidRPr="001165C9" w:rsidR="001165C9">
                              <w:rPr>
                                <w:rStyle w:val="normaltextrun"/>
                                <w:rFonts w:ascii="Calibri" w:hAnsi="Calibri" w:cs="Calibri"/>
                                <w:color w:val="000000"/>
                              </w:rPr>
                              <w:t>and the full UPI record on T+</w:t>
                            </w:r>
                            <w:r w:rsidR="000E7803">
                              <w:rPr>
                                <w:rStyle w:val="normaltextrun"/>
                                <w:rFonts w:ascii="Calibri" w:hAnsi="Calibri" w:cs="Calibri"/>
                                <w:color w:val="000000"/>
                              </w:rPr>
                              <w:t>1</w:t>
                            </w:r>
                            <w:r w:rsidR="000730BB">
                              <w:rPr>
                                <w:rStyle w:val="normaltextrun"/>
                                <w:rFonts w:ascii="Calibri" w:hAnsi="Calibri" w:cs="Calibri"/>
                                <w:color w:val="000000"/>
                              </w:rPr>
                              <w:t xml:space="preserve"> </w:t>
                            </w:r>
                            <w:r w:rsidR="000E7803">
                              <w:rPr>
                                <w:rStyle w:val="normaltextrun"/>
                                <w:rFonts w:ascii="Calibri" w:hAnsi="Calibri" w:cs="Calibri"/>
                                <w:color w:val="000000"/>
                              </w:rPr>
                              <w:t>23</w:t>
                            </w:r>
                            <w:r w:rsidR="000730BB">
                              <w:rPr>
                                <w:rStyle w:val="normaltextrun"/>
                                <w:rFonts w:ascii="Calibri" w:hAnsi="Calibri" w:cs="Calibri"/>
                                <w:color w:val="000000"/>
                              </w:rPr>
                              <w:t>.</w:t>
                            </w:r>
                            <w:r w:rsidR="000E7803">
                              <w:rPr>
                                <w:rStyle w:val="normaltextrun"/>
                                <w:rFonts w:ascii="Calibri" w:hAnsi="Calibri" w:cs="Calibri"/>
                                <w:color w:val="000000"/>
                              </w:rPr>
                              <w:t>5</w:t>
                            </w:r>
                            <w:r w:rsidR="000730BB">
                              <w:rPr>
                                <w:rStyle w:val="normaltextrun"/>
                                <w:rFonts w:ascii="Calibri" w:hAnsi="Calibri" w:cs="Calibri"/>
                                <w:color w:val="000000"/>
                              </w:rPr>
                              <w:t>5hrs</w:t>
                            </w:r>
                            <w:r w:rsidR="007723F5">
                              <w:rPr>
                                <w:rStyle w:val="normaltextrun"/>
                                <w:rFonts w:ascii="Calibri" w:hAnsi="Calibri" w:cs="Calibri"/>
                                <w:color w:val="000000"/>
                              </w:rPr>
                              <w:t xml:space="preserve"> UTC</w:t>
                            </w:r>
                            <w:r w:rsidRPr="001165C9" w:rsidDel="000730BB" w:rsidR="001165C9">
                              <w:rPr>
                                <w:rStyle w:val="normaltextrun"/>
                                <w:rFonts w:ascii="Calibri" w:hAnsi="Calibri" w:cs="Calibri"/>
                                <w:color w:val="000000"/>
                              </w:rPr>
                              <w:t xml:space="preserve"> </w:t>
                            </w:r>
                            <w:r w:rsidRPr="001165C9" w:rsidR="001165C9">
                              <w:rPr>
                                <w:rStyle w:val="normaltextrun"/>
                                <w:rFonts w:ascii="Calibri" w:hAnsi="Calibri" w:cs="Calibri"/>
                                <w:color w:val="000000"/>
                              </w:rPr>
                              <w:t>with the primary goals of ensuring financial sustainability and providing a fair service for all jurisdictions</w:t>
                            </w:r>
                            <w:r w:rsidR="00B309B4">
                              <w:rPr>
                                <w:rStyle w:val="normaltextrun"/>
                                <w:rFonts w:ascii="Calibri" w:hAnsi="Calibri" w:cs="Calibri"/>
                                <w:color w:val="000000"/>
                              </w:rPr>
                              <w:t>.</w:t>
                            </w:r>
                          </w:p>
                          <w:p w:rsidR="006200B1" w:rsidP="001456B9" w:rsidRDefault="006200B1" w14:paraId="58FD3CB8" w14:textId="77777777">
                            <w:pPr>
                              <w:spacing w:after="0"/>
                              <w:jc w:val="both"/>
                              <w:rPr>
                                <w:rStyle w:val="normaltextrun"/>
                                <w:rFonts w:ascii="Calibri" w:hAnsi="Calibri" w:cs="Calibri"/>
                                <w:b/>
                                <w:bCs/>
                                <w:color w:val="000000"/>
                              </w:rPr>
                            </w:pPr>
                          </w:p>
                          <w:p w:rsidRPr="00957138" w:rsidR="00DC30A4" w:rsidP="001456B9" w:rsidRDefault="00DC30A4" w14:paraId="155C90F1" w14:textId="25FB3068">
                            <w:pPr>
                              <w:jc w:val="both"/>
                              <w:rPr>
                                <w:b/>
                                <w:i/>
                                <w:lang w:eastAsia="ja-JP"/>
                              </w:rPr>
                            </w:pPr>
                            <w:r w:rsidRPr="00957138">
                              <w:rPr>
                                <w:b/>
                                <w:i/>
                                <w:lang w:eastAsia="ja-JP"/>
                              </w:rPr>
                              <w:t xml:space="preserve">Question </w:t>
                            </w:r>
                            <w:r w:rsidR="00992C2B">
                              <w:rPr>
                                <w:b/>
                                <w:bCs/>
                                <w:i/>
                                <w:iCs/>
                                <w:lang w:eastAsia="ja-JP"/>
                              </w:rPr>
                              <w:t>3</w:t>
                            </w:r>
                            <w:r w:rsidRPr="00957138">
                              <w:rPr>
                                <w:b/>
                                <w:bCs/>
                                <w:i/>
                                <w:iCs/>
                                <w:lang w:eastAsia="ja-JP"/>
                              </w:rPr>
                              <w:t>a</w:t>
                            </w:r>
                            <w:r w:rsidRPr="00957138">
                              <w:rPr>
                                <w:b/>
                                <w:i/>
                                <w:lang w:eastAsia="ja-JP"/>
                              </w:rPr>
                              <w:t>: Do you concur with this approach</w:t>
                            </w:r>
                            <w:r w:rsidR="00667464">
                              <w:rPr>
                                <w:b/>
                                <w:i/>
                                <w:lang w:eastAsia="ja-JP"/>
                              </w:rPr>
                              <w:t xml:space="preserve"> to the Registered user file download timing</w:t>
                            </w:r>
                            <w:r w:rsidRPr="00957138">
                              <w:rPr>
                                <w:b/>
                                <w:i/>
                                <w:lang w:eastAsia="ja-JP"/>
                              </w:rPr>
                              <w:t xml:space="preserve">? </w:t>
                            </w:r>
                          </w:p>
                          <w:p w:rsidRPr="00957138" w:rsidR="00DC30A4" w:rsidP="001456B9" w:rsidRDefault="00DC30A4" w14:paraId="1B3128BF" w14:textId="691EEFAF">
                            <w:pPr>
                              <w:jc w:val="both"/>
                              <w:rPr>
                                <w:b/>
                                <w:i/>
                                <w:lang w:eastAsia="ja-JP"/>
                              </w:rPr>
                            </w:pPr>
                            <w:r w:rsidRPr="00957138">
                              <w:rPr>
                                <w:b/>
                                <w:i/>
                                <w:lang w:eastAsia="ja-JP"/>
                              </w:rPr>
                              <w:t xml:space="preserve">Question </w:t>
                            </w:r>
                            <w:r w:rsidR="00992C2B">
                              <w:rPr>
                                <w:b/>
                                <w:bCs/>
                                <w:i/>
                                <w:iCs/>
                                <w:lang w:eastAsia="ja-JP"/>
                              </w:rPr>
                              <w:t>3</w:t>
                            </w:r>
                            <w:r w:rsidRPr="00957138">
                              <w:rPr>
                                <w:b/>
                                <w:bCs/>
                                <w:i/>
                                <w:iCs/>
                                <w:lang w:eastAsia="ja-JP"/>
                              </w:rPr>
                              <w:t>b</w:t>
                            </w:r>
                            <w:r w:rsidRPr="00957138">
                              <w:rPr>
                                <w:b/>
                                <w:i/>
                                <w:lang w:eastAsia="ja-JP"/>
                              </w:rPr>
                              <w:t xml:space="preserve">: If not, what specific alternate approach do you recommend? Please provide a clear rationale and any additional </w:t>
                            </w:r>
                            <w:r w:rsidRPr="00957138" w:rsidR="00B740A3">
                              <w:rPr>
                                <w:b/>
                                <w:i/>
                                <w:lang w:eastAsia="ja-JP"/>
                              </w:rPr>
                              <w:t>details</w:t>
                            </w:r>
                            <w:r w:rsidRPr="00957138">
                              <w:rPr>
                                <w:b/>
                                <w:i/>
                                <w:lang w:eastAsia="ja-JP"/>
                              </w:rPr>
                              <w:t xml:space="preserve"> you believe should be incorporated into the DSB’s </w:t>
                            </w:r>
                            <w:r w:rsidRPr="00957138" w:rsidR="00B740A3">
                              <w:rPr>
                                <w:b/>
                                <w:i/>
                                <w:lang w:eastAsia="ja-JP"/>
                              </w:rPr>
                              <w:t>approach</w:t>
                            </w:r>
                            <w:r w:rsidRPr="00957138">
                              <w:rPr>
                                <w:b/>
                                <w:i/>
                                <w:lang w:eastAsia="ja-JP"/>
                              </w:rPr>
                              <w:t>.</w:t>
                            </w:r>
                          </w:p>
                          <w:p w:rsidR="00185AC3" w:rsidDel="001165C9" w:rsidP="001165C9" w:rsidRDefault="00185AC3" w14:paraId="47F4EDE5" w14:textId="77777777">
                            <w:pPr>
                              <w:rPr>
                                <w:rStyle w:val="normaltextrun"/>
                                <w:rFonts w:ascii="Calibri" w:hAnsi="Calibri" w:cs="Calibri"/>
                                <w:color w:val="000000"/>
                              </w:rPr>
                            </w:pPr>
                          </w:p>
                          <w:p w:rsidR="00185AC3" w:rsidP="007B5A7D" w:rsidRDefault="00185AC3" w14:paraId="1A57411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14A415D">
              <v:shape id="_x0000_s1029" style="position:absolute;left:0;text-align:left;margin-left:2.45pt;margin-top:24.8pt;width:450.15pt;height:156.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04aeb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" w14:anchorId="78FF97D8">
                <v:textbox>
                  <w:txbxContent>
                    <w:p w:rsidR="00DC30A4" w:rsidP="001456B9" w:rsidRDefault="00185AC3" w14:paraId="5B7DBD68" w14:textId="1EB27258">
                      <w:pPr>
                        <w:jc w:val="both"/>
                        <w:rPr>
                          <w:rStyle w:val="normaltextrun"/>
                          <w:rFonts w:ascii="Calibri" w:hAnsi="Calibri" w:cs="Calibri"/>
                          <w:color w:val="000000"/>
                        </w:rPr>
                      </w:pPr>
                      <w:r>
                        <w:rPr>
                          <w:rStyle w:val="normaltextrun"/>
                          <w:rFonts w:ascii="Calibri" w:hAnsi="Calibri" w:cs="Calibri"/>
                          <w:b/>
                          <w:bCs/>
                          <w:color w:val="000000"/>
                        </w:rPr>
                        <w:t xml:space="preserve">Summary: </w:t>
                      </w:r>
                      <w:r w:rsidRPr="001165C9" w:rsidR="001165C9">
                        <w:rPr>
                          <w:rStyle w:val="normaltextrun"/>
                          <w:rFonts w:ascii="Calibri" w:hAnsi="Calibri" w:cs="Calibri"/>
                          <w:color w:val="000000"/>
                        </w:rPr>
                        <w:t xml:space="preserve">The DSB is proposing to make the </w:t>
                      </w:r>
                      <w:r w:rsidR="00C4646D">
                        <w:rPr>
                          <w:rStyle w:val="normaltextrun"/>
                          <w:rFonts w:ascii="Calibri" w:hAnsi="Calibri" w:cs="Calibri"/>
                          <w:color w:val="000000"/>
                        </w:rPr>
                        <w:t xml:space="preserve">OTC </w:t>
                      </w:r>
                      <w:r w:rsidRPr="001165C9" w:rsidR="001165C9">
                        <w:rPr>
                          <w:rStyle w:val="normaltextrun"/>
                          <w:rFonts w:ascii="Calibri" w:hAnsi="Calibri" w:cs="Calibri"/>
                          <w:color w:val="000000"/>
                        </w:rPr>
                        <w:t xml:space="preserve">ISIN record </w:t>
                      </w:r>
                      <w:r w:rsidR="00DC26E0">
                        <w:rPr>
                          <w:rStyle w:val="normaltextrun"/>
                          <w:rFonts w:ascii="Calibri" w:hAnsi="Calibri" w:cs="Calibri"/>
                          <w:color w:val="000000"/>
                        </w:rPr>
                        <w:t>including the</w:t>
                      </w:r>
                      <w:r w:rsidRPr="001165C9" w:rsidR="001165C9">
                        <w:rPr>
                          <w:rStyle w:val="normaltextrun"/>
                          <w:rFonts w:ascii="Calibri" w:hAnsi="Calibri" w:cs="Calibri"/>
                          <w:color w:val="000000"/>
                        </w:rPr>
                        <w:t xml:space="preserve"> UPI code freely available at T+</w:t>
                      </w:r>
                      <w:r w:rsidR="000E7803">
                        <w:rPr>
                          <w:rStyle w:val="normaltextrun"/>
                          <w:rFonts w:ascii="Calibri" w:hAnsi="Calibri" w:cs="Calibri"/>
                          <w:color w:val="000000"/>
                        </w:rPr>
                        <w:t>0</w:t>
                      </w:r>
                      <w:r w:rsidR="00DB49AE">
                        <w:rPr>
                          <w:rStyle w:val="normaltextrun"/>
                          <w:rFonts w:ascii="Calibri" w:hAnsi="Calibri" w:cs="Calibri"/>
                          <w:color w:val="000000"/>
                        </w:rPr>
                        <w:t xml:space="preserve"> </w:t>
                      </w:r>
                      <w:r w:rsidR="000E7803">
                        <w:rPr>
                          <w:rStyle w:val="normaltextrun"/>
                          <w:rFonts w:ascii="Calibri" w:hAnsi="Calibri" w:cs="Calibri"/>
                          <w:color w:val="000000"/>
                        </w:rPr>
                        <w:t>23</w:t>
                      </w:r>
                      <w:r w:rsidR="000730BB">
                        <w:rPr>
                          <w:rStyle w:val="normaltextrun"/>
                          <w:rFonts w:ascii="Calibri" w:hAnsi="Calibri" w:cs="Calibri"/>
                          <w:color w:val="000000"/>
                        </w:rPr>
                        <w:t>.</w:t>
                      </w:r>
                      <w:r w:rsidR="000E7803">
                        <w:rPr>
                          <w:rStyle w:val="normaltextrun"/>
                          <w:rFonts w:ascii="Calibri" w:hAnsi="Calibri" w:cs="Calibri"/>
                          <w:color w:val="000000"/>
                        </w:rPr>
                        <w:t>5</w:t>
                      </w:r>
                      <w:r w:rsidR="000730BB">
                        <w:rPr>
                          <w:rStyle w:val="normaltextrun"/>
                          <w:rFonts w:ascii="Calibri" w:hAnsi="Calibri" w:cs="Calibri"/>
                          <w:color w:val="000000"/>
                        </w:rPr>
                        <w:t>5hrs</w:t>
                      </w:r>
                      <w:r w:rsidRPr="001165C9" w:rsidDel="00DB49AE" w:rsidR="001165C9">
                        <w:rPr>
                          <w:rStyle w:val="normaltextrun"/>
                          <w:rFonts w:ascii="Calibri" w:hAnsi="Calibri" w:cs="Calibri"/>
                          <w:color w:val="000000"/>
                        </w:rPr>
                        <w:t xml:space="preserve"> UTC</w:t>
                      </w:r>
                      <w:r w:rsidR="00DB49AE">
                        <w:rPr>
                          <w:rStyle w:val="normaltextrun"/>
                          <w:rFonts w:ascii="Calibri" w:hAnsi="Calibri" w:cs="Calibri"/>
                          <w:color w:val="000000"/>
                        </w:rPr>
                        <w:t xml:space="preserve"> </w:t>
                      </w:r>
                      <w:r w:rsidRPr="001165C9" w:rsidR="001165C9">
                        <w:rPr>
                          <w:rStyle w:val="normaltextrun"/>
                          <w:rFonts w:ascii="Calibri" w:hAnsi="Calibri" w:cs="Calibri"/>
                          <w:color w:val="000000"/>
                        </w:rPr>
                        <w:t>and the full UPI record on T+</w:t>
                      </w:r>
                      <w:r w:rsidR="000E7803">
                        <w:rPr>
                          <w:rStyle w:val="normaltextrun"/>
                          <w:rFonts w:ascii="Calibri" w:hAnsi="Calibri" w:cs="Calibri"/>
                          <w:color w:val="000000"/>
                        </w:rPr>
                        <w:t>1</w:t>
                      </w:r>
                      <w:r w:rsidR="000730BB">
                        <w:rPr>
                          <w:rStyle w:val="normaltextrun"/>
                          <w:rFonts w:ascii="Calibri" w:hAnsi="Calibri" w:cs="Calibri"/>
                          <w:color w:val="000000"/>
                        </w:rPr>
                        <w:t xml:space="preserve"> </w:t>
                      </w:r>
                      <w:r w:rsidR="000E7803">
                        <w:rPr>
                          <w:rStyle w:val="normaltextrun"/>
                          <w:rFonts w:ascii="Calibri" w:hAnsi="Calibri" w:cs="Calibri"/>
                          <w:color w:val="000000"/>
                        </w:rPr>
                        <w:t>23</w:t>
                      </w:r>
                      <w:r w:rsidR="000730BB">
                        <w:rPr>
                          <w:rStyle w:val="normaltextrun"/>
                          <w:rFonts w:ascii="Calibri" w:hAnsi="Calibri" w:cs="Calibri"/>
                          <w:color w:val="000000"/>
                        </w:rPr>
                        <w:t>.</w:t>
                      </w:r>
                      <w:r w:rsidR="000E7803">
                        <w:rPr>
                          <w:rStyle w:val="normaltextrun"/>
                          <w:rFonts w:ascii="Calibri" w:hAnsi="Calibri" w:cs="Calibri"/>
                          <w:color w:val="000000"/>
                        </w:rPr>
                        <w:t>5</w:t>
                      </w:r>
                      <w:r w:rsidR="000730BB">
                        <w:rPr>
                          <w:rStyle w:val="normaltextrun"/>
                          <w:rFonts w:ascii="Calibri" w:hAnsi="Calibri" w:cs="Calibri"/>
                          <w:color w:val="000000"/>
                        </w:rPr>
                        <w:t>5hrs</w:t>
                      </w:r>
                      <w:r w:rsidR="007723F5">
                        <w:rPr>
                          <w:rStyle w:val="normaltextrun"/>
                          <w:rFonts w:ascii="Calibri" w:hAnsi="Calibri" w:cs="Calibri"/>
                          <w:color w:val="000000"/>
                        </w:rPr>
                        <w:t xml:space="preserve"> UTC</w:t>
                      </w:r>
                      <w:r w:rsidRPr="001165C9" w:rsidDel="000730BB" w:rsidR="001165C9">
                        <w:rPr>
                          <w:rStyle w:val="normaltextrun"/>
                          <w:rFonts w:ascii="Calibri" w:hAnsi="Calibri" w:cs="Calibri"/>
                          <w:color w:val="000000"/>
                        </w:rPr>
                        <w:t xml:space="preserve"> </w:t>
                      </w:r>
                      <w:r w:rsidRPr="001165C9" w:rsidR="001165C9">
                        <w:rPr>
                          <w:rStyle w:val="normaltextrun"/>
                          <w:rFonts w:ascii="Calibri" w:hAnsi="Calibri" w:cs="Calibri"/>
                          <w:color w:val="000000"/>
                        </w:rPr>
                        <w:t>with the primary goals of ensuring financial sustainability and providing a fair service for all jurisdictions</w:t>
                      </w:r>
                      <w:r w:rsidR="00B309B4">
                        <w:rPr>
                          <w:rStyle w:val="normaltextrun"/>
                          <w:rFonts w:ascii="Calibri" w:hAnsi="Calibri" w:cs="Calibri"/>
                          <w:color w:val="000000"/>
                        </w:rPr>
                        <w:t>.</w:t>
                      </w:r>
                    </w:p>
                    <w:p w:rsidR="006200B1" w:rsidP="001456B9" w:rsidRDefault="006200B1" w14:paraId="5DAB6C7B" w14:textId="77777777">
                      <w:pPr>
                        <w:spacing w:after="0"/>
                        <w:jc w:val="both"/>
                        <w:rPr>
                          <w:rStyle w:val="normaltextrun"/>
                          <w:rFonts w:ascii="Calibri" w:hAnsi="Calibri" w:cs="Calibri"/>
                          <w:b/>
                          <w:bCs/>
                          <w:color w:val="000000"/>
                        </w:rPr>
                      </w:pPr>
                    </w:p>
                    <w:p w:rsidRPr="00957138" w:rsidR="00DC30A4" w:rsidP="001456B9" w:rsidRDefault="00DC30A4" w14:paraId="23594075" w14:textId="25FB3068">
                      <w:pPr>
                        <w:jc w:val="both"/>
                        <w:rPr>
                          <w:b/>
                          <w:i/>
                          <w:lang w:eastAsia="ja-JP"/>
                        </w:rPr>
                      </w:pPr>
                      <w:r w:rsidRPr="00957138">
                        <w:rPr>
                          <w:b/>
                          <w:i/>
                          <w:lang w:eastAsia="ja-JP"/>
                        </w:rPr>
                        <w:t xml:space="preserve">Question </w:t>
                      </w:r>
                      <w:r w:rsidR="00992C2B">
                        <w:rPr>
                          <w:b/>
                          <w:bCs/>
                          <w:i/>
                          <w:iCs/>
                          <w:lang w:eastAsia="ja-JP"/>
                        </w:rPr>
                        <w:t>3</w:t>
                      </w:r>
                      <w:r w:rsidRPr="00957138">
                        <w:rPr>
                          <w:b/>
                          <w:bCs/>
                          <w:i/>
                          <w:iCs/>
                          <w:lang w:eastAsia="ja-JP"/>
                        </w:rPr>
                        <w:t>a</w:t>
                      </w:r>
                      <w:r w:rsidRPr="00957138">
                        <w:rPr>
                          <w:b/>
                          <w:i/>
                          <w:lang w:eastAsia="ja-JP"/>
                        </w:rPr>
                        <w:t>: Do you concur with this approach</w:t>
                      </w:r>
                      <w:r w:rsidR="00667464">
                        <w:rPr>
                          <w:b/>
                          <w:i/>
                          <w:lang w:eastAsia="ja-JP"/>
                        </w:rPr>
                        <w:t xml:space="preserve"> to the Registered user file download timing</w:t>
                      </w:r>
                      <w:r w:rsidRPr="00957138">
                        <w:rPr>
                          <w:b/>
                          <w:i/>
                          <w:lang w:eastAsia="ja-JP"/>
                        </w:rPr>
                        <w:t xml:space="preserve">? </w:t>
                      </w:r>
                    </w:p>
                    <w:p w:rsidRPr="00957138" w:rsidR="00DC30A4" w:rsidP="001456B9" w:rsidRDefault="00DC30A4" w14:paraId="6D623EC8" w14:textId="691EEFAF">
                      <w:pPr>
                        <w:jc w:val="both"/>
                        <w:rPr>
                          <w:b/>
                          <w:i/>
                          <w:lang w:eastAsia="ja-JP"/>
                        </w:rPr>
                      </w:pPr>
                      <w:r w:rsidRPr="00957138">
                        <w:rPr>
                          <w:b/>
                          <w:i/>
                          <w:lang w:eastAsia="ja-JP"/>
                        </w:rPr>
                        <w:t xml:space="preserve">Question </w:t>
                      </w:r>
                      <w:r w:rsidR="00992C2B">
                        <w:rPr>
                          <w:b/>
                          <w:bCs/>
                          <w:i/>
                          <w:iCs/>
                          <w:lang w:eastAsia="ja-JP"/>
                        </w:rPr>
                        <w:t>3</w:t>
                      </w:r>
                      <w:r w:rsidRPr="00957138">
                        <w:rPr>
                          <w:b/>
                          <w:bCs/>
                          <w:i/>
                          <w:iCs/>
                          <w:lang w:eastAsia="ja-JP"/>
                        </w:rPr>
                        <w:t>b</w:t>
                      </w:r>
                      <w:r w:rsidRPr="00957138">
                        <w:rPr>
                          <w:b/>
                          <w:i/>
                          <w:lang w:eastAsia="ja-JP"/>
                        </w:rPr>
                        <w:t xml:space="preserve">: If not, what specific alternate approach do you recommend? Please provide a clear rationale and any additional </w:t>
                      </w:r>
                      <w:r w:rsidRPr="00957138" w:rsidR="00B740A3">
                        <w:rPr>
                          <w:b/>
                          <w:i/>
                          <w:lang w:eastAsia="ja-JP"/>
                        </w:rPr>
                        <w:t>details</w:t>
                      </w:r>
                      <w:r w:rsidRPr="00957138">
                        <w:rPr>
                          <w:b/>
                          <w:i/>
                          <w:lang w:eastAsia="ja-JP"/>
                        </w:rPr>
                        <w:t xml:space="preserve"> you believe should be incorporated into the DSB’s </w:t>
                      </w:r>
                      <w:r w:rsidRPr="00957138" w:rsidR="00B740A3">
                        <w:rPr>
                          <w:b/>
                          <w:i/>
                          <w:lang w:eastAsia="ja-JP"/>
                        </w:rPr>
                        <w:t>approach</w:t>
                      </w:r>
                      <w:r w:rsidRPr="00957138">
                        <w:rPr>
                          <w:b/>
                          <w:i/>
                          <w:lang w:eastAsia="ja-JP"/>
                        </w:rPr>
                        <w:t>.</w:t>
                      </w:r>
                    </w:p>
                    <w:p w:rsidR="00185AC3" w:rsidDel="001165C9" w:rsidP="001165C9" w:rsidRDefault="00185AC3" w14:paraId="02EB378F" w14:textId="77777777">
                      <w:pPr>
                        <w:rPr>
                          <w:rStyle w:val="normaltextrun"/>
                          <w:rFonts w:ascii="Calibri" w:hAnsi="Calibri" w:cs="Calibri"/>
                          <w:color w:val="000000"/>
                        </w:rPr>
                      </w:pPr>
                    </w:p>
                    <w:p w:rsidR="00185AC3" w:rsidP="007B5A7D" w:rsidRDefault="00185AC3" w14:paraId="6A05A809" w14:textId="77777777"/>
                  </w:txbxContent>
                </v:textbox>
                <w10:wrap type="square" anchorx="margin"/>
              </v:shape>
            </w:pict>
          </mc:Fallback>
        </mc:AlternateContent>
      </w:r>
      <w:r w:rsidR="00F73E49">
        <w:t>Registered User File Download Timing</w:t>
      </w:r>
      <w:bookmarkEnd w:id="517"/>
      <w:bookmarkEnd w:id="518"/>
      <w:bookmarkEnd w:id="519"/>
      <w:bookmarkEnd w:id="520"/>
      <w:bookmarkEnd w:id="521"/>
      <w:r w:rsidR="00F73E49">
        <w:t xml:space="preserve"> </w:t>
      </w:r>
      <w:bookmarkStart w:name="_Toc38842413" w:id="526"/>
      <w:bookmarkEnd w:id="522"/>
      <w:bookmarkEnd w:id="523"/>
    </w:p>
    <w:p w:rsidR="00F73E49" w:rsidP="00E0247B" w:rsidRDefault="00F73E49" w14:paraId="37FD22C4" w14:textId="77777777">
      <w:pPr>
        <w:spacing w:before="240"/>
        <w:rPr>
          <w:u w:val="single"/>
        </w:rPr>
      </w:pPr>
      <w:r>
        <w:rPr>
          <w:u w:val="single"/>
        </w:rPr>
        <w:t>Summary of Responses</w:t>
      </w:r>
      <w:r w:rsidRPr="008E271F">
        <w:rPr>
          <w:u w:val="single"/>
        </w:rPr>
        <w:t>:</w:t>
      </w:r>
    </w:p>
    <w:p w:rsidRPr="008E7D68" w:rsidR="00F73E49" w:rsidP="00E0247B" w:rsidRDefault="00F73E49" w14:paraId="052B9DD6" w14:textId="68723DCD">
      <w:pPr>
        <w:rPr>
          <w:rStyle w:val="normaltextrun"/>
          <w:rFonts w:ascii="Calibri" w:hAnsi="Calibri" w:cs="Calibri"/>
          <w:color w:val="000000"/>
        </w:rPr>
      </w:pPr>
      <w:r w:rsidRPr="008E7D68">
        <w:rPr>
          <w:rStyle w:val="normaltextrun"/>
          <w:rFonts w:ascii="Calibri" w:hAnsi="Calibri" w:cs="Calibri"/>
          <w:color w:val="000000"/>
        </w:rPr>
        <w:t xml:space="preserve">Given the lower anticipated UPI volumes (compared to the existing OTC ISIN service), the DSB foresees a risk that a larger proportion of the UPI user base (compared to the OTC ISIN service) may </w:t>
      </w:r>
      <w:r>
        <w:rPr>
          <w:rStyle w:val="normaltextrun"/>
          <w:rFonts w:ascii="Calibri" w:hAnsi="Calibri" w:cs="Calibri"/>
          <w:color w:val="000000"/>
        </w:rPr>
        <w:t xml:space="preserve"> </w:t>
      </w:r>
      <w:r w:rsidRPr="008E7D68">
        <w:rPr>
          <w:rStyle w:val="normaltextrun"/>
          <w:rFonts w:ascii="Calibri" w:hAnsi="Calibri" w:cs="Calibri"/>
          <w:color w:val="000000"/>
        </w:rPr>
        <w:t>rely exclusively on the DSB’s free service, which includes the daily generated machine-readable download files. In this circumstance, the cost for each fee-paying user would be higher than otherwise, and the DSB proposed access to the daily data files with a two day time-delay.</w:t>
      </w:r>
    </w:p>
    <w:p w:rsidR="00F73E49" w:rsidP="00E0247B" w:rsidRDefault="00F73E49" w14:paraId="7552CC0B" w14:textId="77777777">
      <w:pPr>
        <w:rPr>
          <w:rStyle w:val="normaltextrun"/>
          <w:rFonts w:ascii="Calibri" w:hAnsi="Calibri" w:cs="Calibri"/>
          <w:color w:val="000000"/>
        </w:rPr>
      </w:pPr>
      <w:r>
        <w:rPr>
          <w:rStyle w:val="normaltextrun"/>
          <w:rFonts w:ascii="Calibri" w:hAnsi="Calibri" w:cs="Calibri"/>
          <w:color w:val="000000"/>
        </w:rPr>
        <w:t xml:space="preserve">All organizations that responded to the prior consultation had a view on this topic, with </w:t>
      </w:r>
      <w:r w:rsidRPr="008E7D68">
        <w:rPr>
          <w:rStyle w:val="normaltextrun"/>
          <w:rFonts w:ascii="Calibri" w:hAnsi="Calibri" w:cs="Calibri"/>
          <w:color w:val="000000"/>
        </w:rPr>
        <w:t>83% of respondents disagree</w:t>
      </w:r>
      <w:r>
        <w:rPr>
          <w:rStyle w:val="normaltextrun"/>
          <w:rFonts w:ascii="Calibri" w:hAnsi="Calibri" w:cs="Calibri"/>
          <w:color w:val="000000"/>
        </w:rPr>
        <w:t xml:space="preserve">ing </w:t>
      </w:r>
      <w:r w:rsidRPr="008E7D68">
        <w:rPr>
          <w:rStyle w:val="normaltextrun"/>
          <w:rFonts w:ascii="Calibri" w:hAnsi="Calibri" w:cs="Calibri"/>
          <w:color w:val="000000"/>
        </w:rPr>
        <w:t>or strongly disagree</w:t>
      </w:r>
      <w:r>
        <w:rPr>
          <w:rStyle w:val="normaltextrun"/>
          <w:rFonts w:ascii="Calibri" w:hAnsi="Calibri" w:cs="Calibri"/>
          <w:color w:val="000000"/>
        </w:rPr>
        <w:t xml:space="preserve">ing </w:t>
      </w:r>
      <w:r w:rsidRPr="008E7D68">
        <w:rPr>
          <w:rStyle w:val="normaltextrun"/>
          <w:rFonts w:ascii="Calibri" w:hAnsi="Calibri" w:cs="Calibri"/>
          <w:color w:val="000000"/>
        </w:rPr>
        <w:t xml:space="preserve">with the DSB’s proposal to provide free to use files on a T+2 basis (citing a variety of reasons) and noted that free-to-use files should be provided on a </w:t>
      </w:r>
      <w:r>
        <w:rPr>
          <w:rStyle w:val="normaltextrun"/>
          <w:rFonts w:ascii="Calibri" w:hAnsi="Calibri" w:cs="Calibri"/>
          <w:color w:val="000000"/>
        </w:rPr>
        <w:t xml:space="preserve">on the same basis as that currently available for the OTC ISIN </w:t>
      </w:r>
      <w:r w:rsidRPr="008E7D68">
        <w:rPr>
          <w:rStyle w:val="normaltextrun"/>
          <w:rFonts w:ascii="Calibri" w:hAnsi="Calibri" w:cs="Calibri"/>
          <w:color w:val="000000"/>
        </w:rPr>
        <w:t xml:space="preserve">instead; whilst 8% agreed with the DSB’s proposal. </w:t>
      </w:r>
    </w:p>
    <w:p w:rsidR="00F73E49" w:rsidP="001456B9" w:rsidRDefault="00F73E49" w14:paraId="046AAFC5" w14:textId="77777777">
      <w:pPr>
        <w:jc w:val="both"/>
        <w:rPr>
          <w:rStyle w:val="normaltextrun"/>
          <w:rFonts w:ascii="Calibri" w:hAnsi="Calibri" w:cs="Calibri"/>
          <w:color w:val="000000"/>
        </w:rPr>
      </w:pPr>
      <w:r>
        <w:rPr>
          <w:rStyle w:val="normaltextrun"/>
          <w:rFonts w:ascii="Calibri" w:hAnsi="Calibri" w:cs="Calibri"/>
          <w:color w:val="000000"/>
        </w:rPr>
        <w:t xml:space="preserve">A highlight of the reasons cited by respondents requesting that free-to-use UPI files be available on the same basis of as currently in place for free-to-use files for the OTC ISIN included, but were not limited to the following: </w:t>
      </w:r>
    </w:p>
    <w:p w:rsidRPr="00E0247B" w:rsidR="00F73E49" w:rsidP="001456B9" w:rsidRDefault="00F73E49" w14:paraId="0BE5D017" w14:textId="77777777">
      <w:pPr>
        <w:pStyle w:val="ListParagraph"/>
        <w:numPr>
          <w:ilvl w:val="0"/>
          <w:numId w:val="11"/>
        </w:numPr>
        <w:spacing w:line="276" w:lineRule="auto"/>
        <w:ind w:left="714" w:hanging="357"/>
        <w:contextualSpacing w:val="0"/>
        <w:jc w:val="both"/>
        <w:rPr>
          <w:rStyle w:val="normaltextrun"/>
          <w:rFonts w:ascii="Calibri" w:hAnsi="Calibri"/>
          <w:color w:val="000000"/>
        </w:rPr>
      </w:pPr>
      <w:r w:rsidRPr="00E0247B">
        <w:rPr>
          <w:rStyle w:val="normaltextrun"/>
          <w:rFonts w:ascii="Calibri" w:hAnsi="Calibri"/>
          <w:color w:val="000000"/>
        </w:rPr>
        <w:t xml:space="preserve">Concerns about the application of the proposed T+2 time delay to market infrastructure providers, including trade repositories. While respondents understood that absent such a time delay, fee-paying users may carry a larger proportion of the cost burden than those users seeking to rely exclusively upon DSB’s free service, application of this delay would not allow trade repositories and many market participants “to timely and accurately meet their regulatory requirements”. </w:t>
      </w:r>
    </w:p>
    <w:p w:rsidRPr="00E0247B" w:rsidR="00F73E49" w:rsidP="001456B9" w:rsidRDefault="00F73E49" w14:paraId="0A6CCCB0" w14:textId="77777777">
      <w:pPr>
        <w:pStyle w:val="ListParagraph"/>
        <w:numPr>
          <w:ilvl w:val="0"/>
          <w:numId w:val="11"/>
        </w:numPr>
        <w:spacing w:line="276" w:lineRule="auto"/>
        <w:ind w:left="714" w:hanging="357"/>
        <w:contextualSpacing w:val="0"/>
        <w:jc w:val="both"/>
        <w:rPr>
          <w:rStyle w:val="normaltextrun"/>
          <w:rFonts w:ascii="Calibri" w:hAnsi="Calibri"/>
          <w:color w:val="000000"/>
        </w:rPr>
      </w:pPr>
      <w:r w:rsidRPr="00E0247B">
        <w:rPr>
          <w:rStyle w:val="normaltextrun"/>
          <w:rFonts w:ascii="Calibri" w:hAnsi="Calibri"/>
          <w:color w:val="000000"/>
        </w:rPr>
        <w:t>Some respondents noted that “as the UPI is global in nature, there are practical difficulties with implementing a two-day delay when dealing with multiple time-zones."</w:t>
      </w:r>
    </w:p>
    <w:p w:rsidRPr="00E0247B" w:rsidR="00F73E49" w:rsidP="001456B9" w:rsidRDefault="00F73E49" w14:paraId="0AF5369C" w14:textId="77777777">
      <w:pPr>
        <w:pStyle w:val="ListParagraph"/>
        <w:numPr>
          <w:ilvl w:val="0"/>
          <w:numId w:val="11"/>
        </w:numPr>
        <w:spacing w:line="276" w:lineRule="auto"/>
        <w:ind w:left="714" w:hanging="357"/>
        <w:contextualSpacing w:val="0"/>
        <w:jc w:val="both"/>
        <w:rPr>
          <w:rStyle w:val="normaltextrun"/>
          <w:rFonts w:ascii="Calibri" w:hAnsi="Calibri"/>
          <w:color w:val="000000"/>
        </w:rPr>
      </w:pPr>
      <w:r w:rsidRPr="00E0247B">
        <w:rPr>
          <w:rStyle w:val="normaltextrun"/>
          <w:rFonts w:ascii="Calibri" w:hAnsi="Calibri"/>
          <w:color w:val="000000"/>
        </w:rPr>
        <w:t xml:space="preserve">Concerns that introduction of a T+2 service for free-to-use files “would effectively force users to engage in the paid for service to meet reporting requirements. UPI will presumably be a mandatory regulatory reporting requirement in multiple jurisdictions, and resultantly very important for a firm’s own data management.” </w:t>
      </w:r>
    </w:p>
    <w:p w:rsidRPr="00E0247B" w:rsidR="00F73E49" w:rsidP="001456B9" w:rsidRDefault="00F73E49" w14:paraId="7C3CBAC3" w14:textId="77777777">
      <w:pPr>
        <w:pStyle w:val="ListParagraph"/>
        <w:numPr>
          <w:ilvl w:val="0"/>
          <w:numId w:val="11"/>
        </w:numPr>
        <w:spacing w:line="276" w:lineRule="auto"/>
        <w:ind w:left="714" w:hanging="357"/>
        <w:contextualSpacing w:val="0"/>
        <w:jc w:val="both"/>
        <w:rPr>
          <w:rStyle w:val="normaltextrun"/>
          <w:rFonts w:ascii="Calibri" w:hAnsi="Calibri"/>
          <w:color w:val="000000"/>
        </w:rPr>
      </w:pPr>
      <w:r w:rsidRPr="00E0247B">
        <w:rPr>
          <w:rStyle w:val="normaltextrun"/>
          <w:rFonts w:ascii="Calibri" w:hAnsi="Calibri"/>
          <w:color w:val="000000"/>
        </w:rPr>
        <w:t xml:space="preserve">Some respondents noted that “the UPI library should be accessible in the same way the LEI database is made available today.” </w:t>
      </w:r>
    </w:p>
    <w:p w:rsidRPr="00E0247B" w:rsidR="00F73E49" w:rsidP="001456B9" w:rsidRDefault="00F73E49" w14:paraId="40D5BE9B" w14:textId="77777777">
      <w:pPr>
        <w:pStyle w:val="ListParagraph"/>
        <w:numPr>
          <w:ilvl w:val="0"/>
          <w:numId w:val="11"/>
        </w:numPr>
        <w:spacing w:line="276" w:lineRule="auto"/>
        <w:ind w:left="714" w:hanging="357"/>
        <w:contextualSpacing w:val="0"/>
        <w:jc w:val="both"/>
        <w:rPr>
          <w:rStyle w:val="normaltextrun"/>
          <w:rFonts w:ascii="Calibri" w:hAnsi="Calibri"/>
          <w:color w:val="000000"/>
        </w:rPr>
      </w:pPr>
      <w:r w:rsidRPr="00E0247B">
        <w:rPr>
          <w:rStyle w:val="normaltextrun"/>
          <w:rFonts w:ascii="Calibri" w:hAnsi="Calibri"/>
          <w:color w:val="000000"/>
        </w:rPr>
        <w:t xml:space="preserve">A respondent proposed that UPI users be presented with the option to get the UPI data more frequently than T+2 for a fee, if needed. </w:t>
      </w:r>
    </w:p>
    <w:p w:rsidRPr="00E0247B" w:rsidR="00F73E49" w:rsidP="001456B9" w:rsidRDefault="00F73E49" w14:paraId="62FE0C36" w14:textId="77777777">
      <w:pPr>
        <w:pStyle w:val="ListParagraph"/>
        <w:numPr>
          <w:ilvl w:val="0"/>
          <w:numId w:val="11"/>
        </w:numPr>
        <w:spacing w:line="276" w:lineRule="auto"/>
        <w:ind w:left="714" w:hanging="357"/>
        <w:contextualSpacing w:val="0"/>
        <w:jc w:val="both"/>
        <w:rPr>
          <w:rStyle w:val="normaltextrun"/>
          <w:rFonts w:ascii="Calibri" w:hAnsi="Calibri"/>
          <w:color w:val="000000"/>
        </w:rPr>
      </w:pPr>
      <w:r w:rsidRPr="00E0247B">
        <w:rPr>
          <w:rStyle w:val="normaltextrun"/>
          <w:rFonts w:ascii="Calibri" w:hAnsi="Calibri"/>
          <w:color w:val="000000"/>
        </w:rPr>
        <w:t xml:space="preserve">Some other respondents noted that “Global derivatives markets are highly concentrated amongst a few large global dealers. To varying degrees, those dealers are reporting counterparties to the vast majority of OTC derivatives transactions across asset classes.  The UPI Fee Model should reflect that concentration and impose a commensurate amount of the cost burden on such dealers.  Efforts should be made to avoid imposing material costs on other market participants as such costs may cause them to stop acting as reporting counterparties, which is an anti-competitive result.” </w:t>
      </w:r>
    </w:p>
    <w:p w:rsidRPr="00F678C3" w:rsidR="00F73E49" w:rsidP="001456B9" w:rsidRDefault="00F73E49" w14:paraId="47274D88" w14:textId="77777777">
      <w:pPr>
        <w:pStyle w:val="ListParagraph"/>
        <w:numPr>
          <w:ilvl w:val="0"/>
          <w:numId w:val="11"/>
        </w:numPr>
        <w:spacing w:line="276" w:lineRule="auto"/>
        <w:ind w:left="714" w:hanging="357"/>
        <w:contextualSpacing w:val="0"/>
        <w:jc w:val="both"/>
        <w:rPr>
          <w:rStyle w:val="normaltextrun"/>
          <w:rFonts w:ascii="Calibri" w:hAnsi="Calibri"/>
          <w:color w:val="000000"/>
        </w:rPr>
      </w:pPr>
      <w:r w:rsidRPr="00E0247B">
        <w:rPr>
          <w:rStyle w:val="normaltextrun"/>
          <w:rFonts w:ascii="Calibri" w:hAnsi="Calibri"/>
          <w:color w:val="000000"/>
        </w:rPr>
        <w:t xml:space="preserve">A respondent noted that publication of free-to-use UPI files on a T+2 basis may “damage the perception of the DSB” for smaller firms, in particular on the “rare occasions when a buy-side firm does need a very recently </w:t>
      </w:r>
      <w:r w:rsidRPr="00F678C3">
        <w:rPr>
          <w:rStyle w:val="normaltextrun"/>
          <w:rFonts w:ascii="Calibri" w:hAnsi="Calibri"/>
          <w:color w:val="000000"/>
        </w:rPr>
        <w:t xml:space="preserve">created UPI and can't get it from the counterparty, they will either delay reporting until they have it or report without (to demonstrate that they tried), let it reject and then resubmit once it's available - they are likely to then complain about the DSB service (ignoring all the really good work that they don't really see or appreciate).” </w:t>
      </w:r>
    </w:p>
    <w:p w:rsidRPr="007A1DFF" w:rsidR="00F73E49" w:rsidP="00C513D8" w:rsidRDefault="00F73E49" w14:paraId="49D6330C" w14:textId="77777777">
      <w:pPr>
        <w:jc w:val="both"/>
        <w:rPr>
          <w:bCs/>
          <w:u w:val="single"/>
        </w:rPr>
      </w:pPr>
      <w:r w:rsidRPr="007A1DFF">
        <w:rPr>
          <w:bCs/>
          <w:u w:val="single"/>
        </w:rPr>
        <w:t>DSB Proposal:</w:t>
      </w:r>
    </w:p>
    <w:bookmarkEnd w:id="524"/>
    <w:bookmarkEnd w:id="525"/>
    <w:bookmarkEnd w:id="526"/>
    <w:p w:rsidR="00F73E49" w:rsidP="003B5844" w:rsidRDefault="00F73E49" w14:paraId="397128A1" w14:textId="13F79F10">
      <w:pPr>
        <w:spacing w:after="120"/>
        <w:jc w:val="both"/>
      </w:pPr>
      <w:r>
        <w:t>The proposal has attempted to balance respondents’ preference for free-to-use-files</w:t>
      </w:r>
      <w:r w:rsidR="00697469">
        <w:t xml:space="preserve"> </w:t>
      </w:r>
      <w:r>
        <w:t xml:space="preserve"> available as soon as possible, with the financial sustainability of the UPI service, and the fairness (in terms of timing of availability) for all global jurisdictions.  The proposal attempts to limit the possibility of users in some jurisdictions being able to leverage free-to-use-files for their reporting requirements, whilst users in other jurisdictions are potentially </w:t>
      </w:r>
      <w:proofErr w:type="spellStart"/>
      <w:r>
        <w:t>penalised</w:t>
      </w:r>
      <w:proofErr w:type="spellEnd"/>
      <w:r>
        <w:t xml:space="preserve"> by needing to pay for the data to satisfy similar reporting requirements, simply because of the time-zone they are required to report from.</w:t>
      </w:r>
    </w:p>
    <w:p w:rsidR="00F73E49" w:rsidP="00FF24E6" w:rsidRDefault="00F73E49" w14:paraId="45307717" w14:textId="77777777">
      <w:pPr>
        <w:jc w:val="both"/>
        <w:rPr>
          <w:rStyle w:val="normaltextrun"/>
          <w:rFonts w:ascii="Calibri" w:hAnsi="Calibri" w:cs="Calibri"/>
          <w:color w:val="000000"/>
        </w:rPr>
      </w:pPr>
      <w:r w:rsidRPr="0017261C">
        <w:rPr>
          <w:rStyle w:val="normaltextrun"/>
          <w:rFonts w:ascii="Calibri" w:hAnsi="Calibri" w:cs="Calibri"/>
          <w:color w:val="000000"/>
        </w:rPr>
        <w:t xml:space="preserve">The DSB has incorporated feedback from respondents into the proposal for the timing for the various data elements to be made available for the OTC ISIN and UPI </w:t>
      </w:r>
      <w:r>
        <w:rPr>
          <w:rStyle w:val="normaltextrun"/>
          <w:rFonts w:ascii="Calibri" w:hAnsi="Calibri" w:cs="Calibri"/>
          <w:color w:val="000000"/>
        </w:rPr>
        <w:t>s</w:t>
      </w:r>
      <w:r w:rsidRPr="0017261C">
        <w:rPr>
          <w:rStyle w:val="normaltextrun"/>
          <w:rFonts w:ascii="Calibri" w:hAnsi="Calibri" w:cs="Calibri"/>
          <w:color w:val="000000"/>
        </w:rPr>
        <w:t xml:space="preserve">ervices.  It is proposed that the </w:t>
      </w:r>
      <w:r>
        <w:rPr>
          <w:rStyle w:val="normaltextrun"/>
          <w:rFonts w:ascii="Calibri" w:hAnsi="Calibri" w:cs="Calibri"/>
          <w:color w:val="000000"/>
        </w:rPr>
        <w:t xml:space="preserve">OTC </w:t>
      </w:r>
      <w:r w:rsidRPr="0017261C">
        <w:rPr>
          <w:rStyle w:val="normaltextrun"/>
          <w:rFonts w:ascii="Calibri" w:hAnsi="Calibri" w:cs="Calibri"/>
          <w:color w:val="000000"/>
        </w:rPr>
        <w:t xml:space="preserve">ISIN record will be made available at </w:t>
      </w:r>
      <w:r>
        <w:t>23.55hrs UTC, T+0</w:t>
      </w:r>
      <w:r w:rsidRPr="0017261C">
        <w:rPr>
          <w:rStyle w:val="normaltextrun"/>
          <w:rFonts w:ascii="Calibri" w:hAnsi="Calibri" w:cs="Calibri"/>
          <w:color w:val="000000"/>
        </w:rPr>
        <w:t xml:space="preserve">.  Per above, this will include the UPI code, </w:t>
      </w:r>
      <w:r>
        <w:rPr>
          <w:rStyle w:val="normaltextrun"/>
          <w:rFonts w:ascii="Calibri" w:hAnsi="Calibri" w:cs="Calibri"/>
          <w:color w:val="000000"/>
        </w:rPr>
        <w:t>as a means to support respondents’</w:t>
      </w:r>
      <w:r w:rsidRPr="0017261C">
        <w:rPr>
          <w:rStyle w:val="normaltextrun"/>
          <w:rFonts w:ascii="Calibri" w:hAnsi="Calibri" w:cs="Calibri"/>
          <w:color w:val="000000"/>
        </w:rPr>
        <w:t xml:space="preserve"> feedback requesting free availability of </w:t>
      </w:r>
      <w:r>
        <w:rPr>
          <w:rStyle w:val="normaltextrun"/>
          <w:rFonts w:ascii="Calibri" w:hAnsi="Calibri" w:cs="Calibri"/>
          <w:color w:val="000000"/>
        </w:rPr>
        <w:t xml:space="preserve">the </w:t>
      </w:r>
      <w:r w:rsidRPr="0017261C">
        <w:rPr>
          <w:rStyle w:val="normaltextrun"/>
          <w:rFonts w:ascii="Calibri" w:hAnsi="Calibri" w:cs="Calibri"/>
          <w:color w:val="000000"/>
        </w:rPr>
        <w:t xml:space="preserve">UPI </w:t>
      </w:r>
      <w:r>
        <w:rPr>
          <w:rStyle w:val="normaltextrun"/>
          <w:rFonts w:ascii="Calibri" w:hAnsi="Calibri" w:cs="Calibri"/>
          <w:color w:val="000000"/>
        </w:rPr>
        <w:t>at the same time as the OTC ISIN service</w:t>
      </w:r>
      <w:r w:rsidRPr="0017261C">
        <w:rPr>
          <w:rStyle w:val="normaltextrun"/>
          <w:rFonts w:ascii="Calibri" w:hAnsi="Calibri" w:cs="Calibri"/>
          <w:color w:val="000000"/>
        </w:rPr>
        <w:t>.</w:t>
      </w:r>
    </w:p>
    <w:p w:rsidR="00F73E49" w:rsidP="00714CCE" w:rsidRDefault="00F73E49" w14:paraId="6F557595" w14:textId="5F4E8E34">
      <w:pPr>
        <w:jc w:val="both"/>
        <w:rPr>
          <w:rStyle w:val="normaltextrun"/>
          <w:rFonts w:ascii="Calibri" w:hAnsi="Calibri" w:cs="Calibri"/>
          <w:color w:val="000000"/>
        </w:rPr>
      </w:pPr>
      <w:r w:rsidRPr="0017261C">
        <w:rPr>
          <w:rStyle w:val="normaltextrun"/>
          <w:rFonts w:ascii="Calibri" w:hAnsi="Calibri" w:cs="Calibri"/>
          <w:color w:val="000000"/>
        </w:rPr>
        <w:t>The full UPI record</w:t>
      </w:r>
      <w:r w:rsidR="007404DC">
        <w:rPr>
          <w:rStyle w:val="normaltextrun"/>
          <w:rFonts w:ascii="Calibri" w:hAnsi="Calibri" w:cs="Calibri"/>
          <w:color w:val="000000"/>
        </w:rPr>
        <w:t xml:space="preserve"> </w:t>
      </w:r>
      <w:r>
        <w:rPr>
          <w:rStyle w:val="normaltextrun"/>
          <w:rFonts w:ascii="Calibri" w:hAnsi="Calibri" w:cs="Calibri"/>
          <w:color w:val="000000"/>
        </w:rPr>
        <w:t xml:space="preserve">(UPI code and UPI reference data) </w:t>
      </w:r>
      <w:r w:rsidRPr="0017261C">
        <w:rPr>
          <w:rStyle w:val="normaltextrun"/>
          <w:rFonts w:ascii="Calibri" w:hAnsi="Calibri" w:cs="Calibri"/>
          <w:color w:val="000000"/>
        </w:rPr>
        <w:t xml:space="preserve">would be made freely available at </w:t>
      </w:r>
      <w:r>
        <w:rPr>
          <w:rStyle w:val="normaltextrun"/>
          <w:rFonts w:ascii="Calibri" w:hAnsi="Calibri" w:cs="Calibri"/>
          <w:color w:val="000000"/>
        </w:rPr>
        <w:t>23.55hrs UTC</w:t>
      </w:r>
      <w:r w:rsidRPr="0017261C">
        <w:rPr>
          <w:rStyle w:val="normaltextrun"/>
          <w:rFonts w:ascii="Calibri" w:hAnsi="Calibri" w:cs="Calibri"/>
          <w:color w:val="000000"/>
        </w:rPr>
        <w:t>, T+</w:t>
      </w:r>
      <w:r>
        <w:rPr>
          <w:rStyle w:val="normaltextrun"/>
          <w:rFonts w:ascii="Calibri" w:hAnsi="Calibri" w:cs="Calibri"/>
          <w:color w:val="000000"/>
        </w:rPr>
        <w:t xml:space="preserve">1, </w:t>
      </w:r>
      <w:r w:rsidRPr="0017261C">
        <w:rPr>
          <w:rStyle w:val="normaltextrun"/>
          <w:rFonts w:ascii="Calibri" w:hAnsi="Calibri" w:cs="Calibri"/>
          <w:color w:val="000000"/>
        </w:rPr>
        <w:t>with the primary goal</w:t>
      </w:r>
      <w:r>
        <w:rPr>
          <w:rStyle w:val="normaltextrun"/>
          <w:rFonts w:ascii="Calibri" w:hAnsi="Calibri" w:cs="Calibri"/>
          <w:color w:val="000000"/>
        </w:rPr>
        <w:t>s</w:t>
      </w:r>
      <w:r w:rsidRPr="0017261C">
        <w:rPr>
          <w:rStyle w:val="normaltextrun"/>
          <w:rFonts w:ascii="Calibri" w:hAnsi="Calibri" w:cs="Calibri"/>
          <w:color w:val="000000"/>
        </w:rPr>
        <w:t xml:space="preserve"> of supporti</w:t>
      </w:r>
      <w:r>
        <w:rPr>
          <w:rStyle w:val="normaltextrun"/>
          <w:rFonts w:ascii="Calibri" w:hAnsi="Calibri" w:cs="Calibri"/>
          <w:color w:val="000000"/>
        </w:rPr>
        <w:t>ng</w:t>
      </w:r>
      <w:r w:rsidRPr="0017261C">
        <w:rPr>
          <w:rStyle w:val="normaltextrun"/>
          <w:rFonts w:ascii="Calibri" w:hAnsi="Calibri" w:cs="Calibri"/>
          <w:color w:val="000000"/>
        </w:rPr>
        <w:t xml:space="preserve"> the financial sustainability of the UPI service, by ensuring adequate demand for the three user </w:t>
      </w:r>
      <w:r>
        <w:rPr>
          <w:rStyle w:val="normaltextrun"/>
          <w:rFonts w:ascii="Calibri" w:hAnsi="Calibri" w:cs="Calibri"/>
          <w:color w:val="000000"/>
        </w:rPr>
        <w:t xml:space="preserve">access levels outlined in section 4.3, and </w:t>
      </w:r>
      <w:r w:rsidRPr="0017261C">
        <w:rPr>
          <w:rStyle w:val="normaltextrun"/>
          <w:rFonts w:ascii="Calibri" w:hAnsi="Calibri" w:cs="Calibri"/>
          <w:color w:val="000000"/>
        </w:rPr>
        <w:t>providing a fair service for all jurisdictions</w:t>
      </w:r>
      <w:r w:rsidRPr="0017261C" w:rsidDel="00B01916">
        <w:rPr>
          <w:rStyle w:val="normaltextrun"/>
          <w:rFonts w:ascii="Calibri" w:hAnsi="Calibri" w:cs="Calibri"/>
          <w:color w:val="000000"/>
        </w:rPr>
        <w:t>.</w:t>
      </w:r>
      <w:r w:rsidRPr="0017261C" w:rsidDel="00BC06CB">
        <w:rPr>
          <w:rStyle w:val="normaltextrun"/>
          <w:rFonts w:ascii="Calibri" w:hAnsi="Calibri" w:cs="Calibri"/>
          <w:color w:val="000000"/>
        </w:rPr>
        <w:t xml:space="preserve">  </w:t>
      </w:r>
    </w:p>
    <w:p w:rsidRPr="0017261C" w:rsidR="00F73E49" w:rsidP="001456B9" w:rsidRDefault="00F73E49" w14:paraId="3C8CD93A" w14:textId="77777777">
      <w:pPr>
        <w:jc w:val="both"/>
        <w:rPr>
          <w:rStyle w:val="normaltextrun"/>
          <w:rFonts w:ascii="Calibri" w:hAnsi="Calibri" w:cs="Calibri"/>
          <w:color w:val="000000"/>
        </w:rPr>
      </w:pPr>
      <w:r w:rsidRPr="0017261C">
        <w:rPr>
          <w:rStyle w:val="normaltextrun"/>
          <w:rFonts w:ascii="Calibri" w:hAnsi="Calibri" w:cs="Calibri"/>
          <w:color w:val="000000"/>
        </w:rPr>
        <w:t>As a worked example of this proposal, on Thurs</w:t>
      </w:r>
      <w:r>
        <w:rPr>
          <w:rStyle w:val="normaltextrun"/>
          <w:rFonts w:ascii="Calibri" w:hAnsi="Calibri" w:cs="Calibri"/>
          <w:color w:val="000000"/>
        </w:rPr>
        <w:t>day,</w:t>
      </w:r>
      <w:r w:rsidRPr="0017261C">
        <w:rPr>
          <w:rStyle w:val="normaltextrun"/>
          <w:rFonts w:ascii="Calibri" w:hAnsi="Calibri" w:cs="Calibri"/>
          <w:color w:val="000000"/>
        </w:rPr>
        <w:t xml:space="preserve"> April 1</w:t>
      </w:r>
      <w:r>
        <w:rPr>
          <w:rStyle w:val="normaltextrun"/>
          <w:rFonts w:ascii="Calibri" w:hAnsi="Calibri" w:cs="Calibri"/>
          <w:color w:val="000000"/>
        </w:rPr>
        <w:t>4</w:t>
      </w:r>
      <w:r w:rsidRPr="007544F5">
        <w:rPr>
          <w:rStyle w:val="normaltextrun"/>
          <w:rFonts w:ascii="Calibri" w:hAnsi="Calibri" w:cs="Calibri"/>
          <w:color w:val="000000"/>
          <w:vertAlign w:val="superscript"/>
        </w:rPr>
        <w:t>th</w:t>
      </w:r>
      <w:r>
        <w:rPr>
          <w:rStyle w:val="normaltextrun"/>
          <w:rFonts w:ascii="Calibri" w:hAnsi="Calibri" w:cs="Calibri"/>
          <w:color w:val="000000"/>
        </w:rPr>
        <w:t>, at 23.55hrs UTC, the following data files would be made freely available:</w:t>
      </w:r>
    </w:p>
    <w:p w:rsidRPr="0017261C" w:rsidR="00F73E49" w:rsidP="001456B9" w:rsidRDefault="00F73E49" w14:paraId="027668E8" w14:textId="1343C835">
      <w:pPr>
        <w:ind w:left="720" w:firstLine="273"/>
        <w:jc w:val="both"/>
        <w:rPr>
          <w:rStyle w:val="normaltextrun"/>
          <w:rFonts w:ascii="Calibri" w:hAnsi="Calibri" w:cs="Calibri"/>
          <w:color w:val="000000"/>
        </w:rPr>
      </w:pPr>
      <w:r w:rsidRPr="0017261C">
        <w:rPr>
          <w:rStyle w:val="normaltextrun"/>
          <w:rFonts w:ascii="Calibri" w:hAnsi="Calibri" w:cs="Calibri"/>
          <w:color w:val="000000"/>
        </w:rPr>
        <w:t>o</w:t>
      </w:r>
      <w:r w:rsidRPr="0017261C">
        <w:rPr>
          <w:rStyle w:val="normaltextrun"/>
          <w:rFonts w:ascii="Calibri" w:hAnsi="Calibri" w:cs="Calibri"/>
          <w:color w:val="000000"/>
        </w:rPr>
        <w:tab/>
      </w:r>
      <w:r>
        <w:rPr>
          <w:rStyle w:val="normaltextrun"/>
          <w:rFonts w:ascii="Calibri" w:hAnsi="Calibri" w:cs="Calibri"/>
          <w:color w:val="000000"/>
        </w:rPr>
        <w:t xml:space="preserve">OTC </w:t>
      </w:r>
      <w:r w:rsidRPr="0017261C">
        <w:rPr>
          <w:rStyle w:val="normaltextrun"/>
          <w:rFonts w:ascii="Calibri" w:hAnsi="Calibri" w:cs="Calibri"/>
          <w:color w:val="000000"/>
        </w:rPr>
        <w:t xml:space="preserve">ISIN </w:t>
      </w:r>
      <w:r>
        <w:rPr>
          <w:rStyle w:val="normaltextrun"/>
          <w:rFonts w:ascii="Calibri" w:hAnsi="Calibri" w:cs="Calibri"/>
          <w:color w:val="000000"/>
        </w:rPr>
        <w:t xml:space="preserve">/ CFI </w:t>
      </w:r>
      <w:r w:rsidRPr="0017261C">
        <w:rPr>
          <w:rStyle w:val="normaltextrun"/>
          <w:rFonts w:ascii="Calibri" w:hAnsi="Calibri" w:cs="Calibri"/>
          <w:color w:val="000000"/>
        </w:rPr>
        <w:t xml:space="preserve">Record </w:t>
      </w:r>
      <w:r>
        <w:rPr>
          <w:rStyle w:val="normaltextrun"/>
          <w:rFonts w:ascii="Calibri" w:hAnsi="Calibri" w:cs="Calibri"/>
          <w:color w:val="000000"/>
        </w:rPr>
        <w:t>(</w:t>
      </w:r>
      <w:r w:rsidRPr="0017261C">
        <w:rPr>
          <w:rStyle w:val="normaltextrun"/>
          <w:rFonts w:ascii="Calibri" w:hAnsi="Calibri" w:cs="Calibri"/>
          <w:color w:val="000000"/>
        </w:rPr>
        <w:t xml:space="preserve">including UPI </w:t>
      </w:r>
      <w:r w:rsidRPr="0017261C" w:rsidR="0017261C">
        <w:rPr>
          <w:rStyle w:val="normaltextrun"/>
          <w:rFonts w:ascii="Calibri" w:hAnsi="Calibri" w:cs="Calibri"/>
          <w:color w:val="000000"/>
        </w:rPr>
        <w:t>Code</w:t>
      </w:r>
      <w:r>
        <w:rPr>
          <w:rStyle w:val="normaltextrun"/>
          <w:rFonts w:ascii="Calibri" w:hAnsi="Calibri" w:cs="Calibri"/>
          <w:color w:val="000000"/>
        </w:rPr>
        <w:t>)</w:t>
      </w:r>
      <w:r w:rsidRPr="0017261C">
        <w:rPr>
          <w:rStyle w:val="normaltextrun"/>
          <w:rFonts w:ascii="Calibri" w:hAnsi="Calibri" w:cs="Calibri"/>
          <w:color w:val="000000"/>
        </w:rPr>
        <w:t xml:space="preserve"> for Apr 14</w:t>
      </w:r>
      <w:r w:rsidRPr="007544F5">
        <w:rPr>
          <w:rStyle w:val="normaltextrun"/>
          <w:rFonts w:ascii="Calibri" w:hAnsi="Calibri" w:cs="Calibri"/>
          <w:color w:val="000000"/>
          <w:vertAlign w:val="superscript"/>
        </w:rPr>
        <w:t>th</w:t>
      </w:r>
      <w:r>
        <w:rPr>
          <w:rStyle w:val="normaltextrun"/>
          <w:rFonts w:ascii="Calibri" w:hAnsi="Calibri" w:cs="Calibri"/>
          <w:color w:val="000000"/>
        </w:rPr>
        <w:t xml:space="preserve"> </w:t>
      </w:r>
    </w:p>
    <w:p w:rsidRPr="0017261C" w:rsidR="00F73E49" w:rsidP="001456B9" w:rsidRDefault="00F73E49" w14:paraId="13A32FCD" w14:textId="77777777">
      <w:pPr>
        <w:ind w:left="851" w:firstLine="142"/>
        <w:jc w:val="both"/>
        <w:rPr>
          <w:rStyle w:val="normaltextrun"/>
          <w:rFonts w:ascii="Calibri" w:hAnsi="Calibri" w:cs="Calibri"/>
          <w:color w:val="000000"/>
        </w:rPr>
      </w:pPr>
      <w:r w:rsidRPr="0017261C">
        <w:rPr>
          <w:rStyle w:val="normaltextrun"/>
          <w:rFonts w:ascii="Calibri" w:hAnsi="Calibri" w:cs="Calibri"/>
          <w:color w:val="000000"/>
        </w:rPr>
        <w:t>o</w:t>
      </w:r>
      <w:r w:rsidRPr="0017261C">
        <w:rPr>
          <w:rStyle w:val="normaltextrun"/>
          <w:rFonts w:ascii="Calibri" w:hAnsi="Calibri" w:cs="Calibri"/>
          <w:color w:val="000000"/>
        </w:rPr>
        <w:tab/>
      </w:r>
      <w:r w:rsidRPr="0017261C">
        <w:rPr>
          <w:rStyle w:val="normaltextrun"/>
          <w:rFonts w:ascii="Calibri" w:hAnsi="Calibri" w:cs="Calibri"/>
          <w:color w:val="000000"/>
        </w:rPr>
        <w:t>UPI Record for Apr 13</w:t>
      </w:r>
      <w:r w:rsidRPr="007544F5">
        <w:rPr>
          <w:rStyle w:val="normaltextrun"/>
          <w:rFonts w:ascii="Calibri" w:hAnsi="Calibri" w:cs="Calibri"/>
          <w:color w:val="000000"/>
          <w:vertAlign w:val="superscript"/>
        </w:rPr>
        <w:t>th</w:t>
      </w:r>
      <w:r w:rsidRPr="0017261C">
        <w:rPr>
          <w:rStyle w:val="normaltextrun"/>
          <w:rFonts w:ascii="Calibri" w:hAnsi="Calibri" w:cs="Calibri"/>
          <w:color w:val="000000"/>
        </w:rPr>
        <w:t xml:space="preserve"> </w:t>
      </w:r>
    </w:p>
    <w:p w:rsidRPr="0017261C" w:rsidR="00F73E49" w:rsidP="001456B9" w:rsidRDefault="00F73E49" w14:paraId="766D82B2" w14:textId="77777777">
      <w:pPr>
        <w:jc w:val="both"/>
        <w:rPr>
          <w:rStyle w:val="normaltextrun"/>
          <w:rFonts w:ascii="Calibri" w:hAnsi="Calibri" w:cs="Calibri"/>
          <w:color w:val="000000"/>
        </w:rPr>
      </w:pPr>
      <w:r w:rsidRPr="0017261C">
        <w:rPr>
          <w:rStyle w:val="normaltextrun"/>
          <w:rFonts w:ascii="Calibri" w:hAnsi="Calibri" w:cs="Calibri"/>
          <w:color w:val="000000"/>
        </w:rPr>
        <w:t xml:space="preserve">As outlined in section 4.2 there is significant </w:t>
      </w:r>
      <w:r>
        <w:rPr>
          <w:rStyle w:val="normaltextrun"/>
          <w:rFonts w:ascii="Calibri" w:hAnsi="Calibri" w:cs="Calibri"/>
          <w:color w:val="000000"/>
        </w:rPr>
        <w:t>inter-dependency</w:t>
      </w:r>
      <w:r w:rsidRPr="0017261C">
        <w:rPr>
          <w:rStyle w:val="normaltextrun"/>
          <w:rFonts w:ascii="Calibri" w:hAnsi="Calibri" w:cs="Calibri"/>
          <w:color w:val="000000"/>
        </w:rPr>
        <w:t xml:space="preserve"> between </w:t>
      </w:r>
      <w:r>
        <w:rPr>
          <w:rStyle w:val="normaltextrun"/>
          <w:rFonts w:ascii="Calibri" w:hAnsi="Calibri" w:cs="Calibri"/>
          <w:color w:val="000000"/>
        </w:rPr>
        <w:t>user access level</w:t>
      </w:r>
      <w:r w:rsidRPr="0017261C">
        <w:rPr>
          <w:rStyle w:val="normaltextrun"/>
          <w:rFonts w:ascii="Calibri" w:hAnsi="Calibri" w:cs="Calibri"/>
          <w:color w:val="000000"/>
        </w:rPr>
        <w:t xml:space="preserve"> (through the three services of UPI Only, OTC ISIN / CFI only, or combined UPI and OTC ISIN / CFI) Services.  The content and timing (of the availability) of data files are also expected to have significant bearing on user numbers for each service type.  As such the proposal has attempted to strike an appropriate balance between early provision of data, financial sustainability of the UPI service, and fairness for all global users of the service.</w:t>
      </w:r>
    </w:p>
    <w:p w:rsidRPr="0017261C" w:rsidR="00F73E49" w:rsidP="001456B9" w:rsidRDefault="00F73E49" w14:paraId="623BD27C" w14:textId="77777777">
      <w:pPr>
        <w:jc w:val="both"/>
        <w:rPr>
          <w:rStyle w:val="normaltextrun"/>
          <w:rFonts w:ascii="Calibri" w:hAnsi="Calibri" w:cs="Calibri"/>
          <w:color w:val="000000"/>
        </w:rPr>
      </w:pPr>
      <w:r w:rsidRPr="0017261C">
        <w:rPr>
          <w:rStyle w:val="normaltextrun"/>
          <w:rFonts w:ascii="Calibri" w:hAnsi="Calibri" w:cs="Calibri"/>
          <w:color w:val="000000"/>
        </w:rPr>
        <w:t>Various permutations of content and timing are possible, including 2 other options outlined below which the DSB has discounted for the reasons given:</w:t>
      </w:r>
    </w:p>
    <w:p w:rsidRPr="00852250" w:rsidR="00F73E49" w:rsidP="001456B9" w:rsidRDefault="00F73E49" w14:paraId="2C06C793" w14:textId="77777777">
      <w:pPr>
        <w:spacing w:after="0"/>
        <w:jc w:val="both"/>
        <w:rPr>
          <w:rStyle w:val="normaltextrun"/>
          <w:rFonts w:ascii="Calibri" w:hAnsi="Calibri" w:cs="Calibri"/>
          <w:color w:val="000000"/>
          <w:u w:val="single"/>
        </w:rPr>
      </w:pPr>
      <w:r w:rsidRPr="00852250">
        <w:rPr>
          <w:rStyle w:val="normaltextrun"/>
          <w:rFonts w:ascii="Calibri" w:hAnsi="Calibri" w:cs="Calibri"/>
          <w:color w:val="000000"/>
          <w:u w:val="single"/>
        </w:rPr>
        <w:t>Alternate Proposal</w:t>
      </w:r>
      <w:r>
        <w:rPr>
          <w:rStyle w:val="normaltextrun"/>
          <w:rFonts w:ascii="Calibri" w:hAnsi="Calibri" w:cs="Calibri"/>
          <w:color w:val="000000"/>
          <w:u w:val="single"/>
        </w:rPr>
        <w:t>s</w:t>
      </w:r>
    </w:p>
    <w:p w:rsidRPr="00F678C3" w:rsidR="00F73E49" w:rsidP="001456B9" w:rsidRDefault="00F73E49" w14:paraId="1B2314CB" w14:textId="77777777">
      <w:pPr>
        <w:pStyle w:val="ListParagraph"/>
        <w:numPr>
          <w:ilvl w:val="0"/>
          <w:numId w:val="37"/>
        </w:numPr>
        <w:spacing w:before="120" w:after="0"/>
        <w:ind w:left="714" w:hanging="357"/>
        <w:contextualSpacing w:val="0"/>
        <w:jc w:val="both"/>
        <w:rPr>
          <w:rStyle w:val="normaltextrun"/>
          <w:rFonts w:ascii="Calibri" w:hAnsi="Calibri"/>
          <w:color w:val="000000"/>
          <w:sz w:val="24"/>
        </w:rPr>
      </w:pPr>
      <w:r w:rsidRPr="00F678C3">
        <w:rPr>
          <w:rStyle w:val="normaltextrun"/>
          <w:rFonts w:ascii="Calibri" w:hAnsi="Calibri"/>
          <w:color w:val="000000"/>
        </w:rPr>
        <w:t>Making UPI Record available at 23.55hrs UTC, T+0</w:t>
      </w:r>
    </w:p>
    <w:p w:rsidRPr="0017261C" w:rsidR="00F73E49" w:rsidP="003B5844" w:rsidRDefault="00F73E49" w14:paraId="2BE160AD" w14:textId="77777777">
      <w:pPr>
        <w:jc w:val="both"/>
        <w:rPr>
          <w:rStyle w:val="normaltextrun"/>
          <w:rFonts w:ascii="Calibri" w:hAnsi="Calibri" w:cs="Calibri"/>
          <w:color w:val="000000"/>
        </w:rPr>
      </w:pPr>
      <w:r>
        <w:rPr>
          <w:rStyle w:val="normaltextrun"/>
          <w:rFonts w:ascii="Calibri" w:hAnsi="Calibri" w:cs="Calibri"/>
          <w:color w:val="000000"/>
        </w:rPr>
        <w:t>Consideration was given to m</w:t>
      </w:r>
      <w:r w:rsidRPr="0017261C">
        <w:rPr>
          <w:rStyle w:val="normaltextrun"/>
          <w:rFonts w:ascii="Calibri" w:hAnsi="Calibri" w:cs="Calibri"/>
          <w:color w:val="000000"/>
        </w:rPr>
        <w:t xml:space="preserve">aking the UPI record file freely available at </w:t>
      </w:r>
      <w:r>
        <w:t xml:space="preserve">23.55hrs UTC, T+0. However, </w:t>
      </w:r>
      <w:r w:rsidRPr="0017261C" w:rsidDel="00112AAF">
        <w:rPr>
          <w:rStyle w:val="normaltextrun"/>
          <w:rFonts w:ascii="Calibri" w:hAnsi="Calibri" w:cs="Calibri"/>
          <w:color w:val="000000"/>
        </w:rPr>
        <w:t xml:space="preserve">this </w:t>
      </w:r>
      <w:r w:rsidRPr="0017261C">
        <w:rPr>
          <w:rStyle w:val="normaltextrun"/>
          <w:rFonts w:ascii="Calibri" w:hAnsi="Calibri" w:cs="Calibri"/>
          <w:color w:val="000000"/>
        </w:rPr>
        <w:t xml:space="preserve">would </w:t>
      </w:r>
      <w:r w:rsidRPr="0017261C" w:rsidDel="00B23B6A">
        <w:rPr>
          <w:rStyle w:val="normaltextrun"/>
          <w:rFonts w:ascii="Calibri" w:hAnsi="Calibri" w:cs="Calibri"/>
          <w:color w:val="000000"/>
        </w:rPr>
        <w:t>mean that</w:t>
      </w:r>
      <w:r w:rsidRPr="0017261C">
        <w:rPr>
          <w:rStyle w:val="normaltextrun"/>
          <w:rFonts w:ascii="Calibri" w:hAnsi="Calibri" w:cs="Calibri"/>
          <w:color w:val="000000"/>
        </w:rPr>
        <w:t xml:space="preserve"> relatively fewer users </w:t>
      </w:r>
      <w:r w:rsidRPr="0017261C" w:rsidDel="00B23B6A">
        <w:rPr>
          <w:rStyle w:val="normaltextrun"/>
          <w:rFonts w:ascii="Calibri" w:hAnsi="Calibri" w:cs="Calibri"/>
          <w:color w:val="000000"/>
        </w:rPr>
        <w:t xml:space="preserve">would </w:t>
      </w:r>
      <w:r w:rsidRPr="0017261C" w:rsidDel="00647235">
        <w:rPr>
          <w:rStyle w:val="normaltextrun"/>
          <w:rFonts w:ascii="Calibri" w:hAnsi="Calibri" w:cs="Calibri"/>
          <w:color w:val="000000"/>
        </w:rPr>
        <w:t xml:space="preserve">need to </w:t>
      </w:r>
      <w:r w:rsidRPr="0017261C">
        <w:rPr>
          <w:rStyle w:val="normaltextrun"/>
          <w:rFonts w:ascii="Calibri" w:hAnsi="Calibri" w:cs="Calibri"/>
          <w:color w:val="000000"/>
        </w:rPr>
        <w:t xml:space="preserve">pay for the UPI service, </w:t>
      </w:r>
      <w:r>
        <w:rPr>
          <w:rStyle w:val="normaltextrun"/>
          <w:rFonts w:ascii="Calibri" w:hAnsi="Calibri" w:cs="Calibri"/>
          <w:color w:val="000000"/>
        </w:rPr>
        <w:t xml:space="preserve">potentially </w:t>
      </w:r>
      <w:r w:rsidRPr="0017261C">
        <w:rPr>
          <w:rStyle w:val="normaltextrun"/>
          <w:rFonts w:ascii="Calibri" w:hAnsi="Calibri" w:cs="Calibri"/>
          <w:color w:val="000000"/>
        </w:rPr>
        <w:t xml:space="preserve">resulting in the UPI service being financially unsustainable.  </w:t>
      </w:r>
      <w:r>
        <w:rPr>
          <w:rStyle w:val="normaltextrun"/>
          <w:rFonts w:ascii="Calibri" w:hAnsi="Calibri" w:cs="Calibri"/>
          <w:color w:val="000000"/>
        </w:rPr>
        <w:t>The cost recovery of the service would be dependent on significantly fewer fee paying users</w:t>
      </w:r>
      <w:r w:rsidRPr="0017261C">
        <w:rPr>
          <w:rStyle w:val="normaltextrun"/>
          <w:rFonts w:ascii="Calibri" w:hAnsi="Calibri" w:cs="Calibri"/>
          <w:color w:val="000000"/>
        </w:rPr>
        <w:t xml:space="preserve">, with a </w:t>
      </w:r>
      <w:r>
        <w:rPr>
          <w:rStyle w:val="normaltextrun"/>
          <w:rFonts w:ascii="Calibri" w:hAnsi="Calibri" w:cs="Calibri"/>
          <w:color w:val="000000"/>
        </w:rPr>
        <w:t>high</w:t>
      </w:r>
      <w:r w:rsidRPr="0017261C">
        <w:rPr>
          <w:rStyle w:val="normaltextrun"/>
          <w:rFonts w:ascii="Calibri" w:hAnsi="Calibri" w:cs="Calibri"/>
          <w:color w:val="000000"/>
        </w:rPr>
        <w:t xml:space="preserve"> percentage of the user base accessing the service </w:t>
      </w:r>
      <w:r>
        <w:rPr>
          <w:rStyle w:val="normaltextrun"/>
          <w:rFonts w:ascii="Calibri" w:hAnsi="Calibri" w:cs="Calibri"/>
          <w:color w:val="000000"/>
        </w:rPr>
        <w:t>free of charge</w:t>
      </w:r>
      <w:r w:rsidRPr="0017261C">
        <w:rPr>
          <w:rStyle w:val="normaltextrun"/>
          <w:rFonts w:ascii="Calibri" w:hAnsi="Calibri" w:cs="Calibri"/>
          <w:color w:val="000000"/>
        </w:rPr>
        <w:t xml:space="preserve">.  </w:t>
      </w:r>
    </w:p>
    <w:p w:rsidRPr="0017261C" w:rsidR="00F73E49" w:rsidP="00FF24E6" w:rsidRDefault="00F73E49" w14:paraId="004697C8" w14:textId="77777777">
      <w:pPr>
        <w:jc w:val="both"/>
        <w:rPr>
          <w:rStyle w:val="normaltextrun"/>
          <w:rFonts w:ascii="Calibri" w:hAnsi="Calibri" w:cs="Calibri"/>
          <w:color w:val="000000"/>
        </w:rPr>
      </w:pPr>
      <w:r w:rsidRPr="0017261C">
        <w:rPr>
          <w:rStyle w:val="normaltextrun"/>
          <w:rFonts w:ascii="Calibri" w:hAnsi="Calibri" w:cs="Calibri"/>
          <w:color w:val="000000"/>
        </w:rPr>
        <w:t>The propos</w:t>
      </w:r>
      <w:r>
        <w:rPr>
          <w:rStyle w:val="normaltextrun"/>
          <w:rFonts w:ascii="Calibri" w:hAnsi="Calibri" w:cs="Calibri"/>
          <w:color w:val="000000"/>
        </w:rPr>
        <w:t>ed model</w:t>
      </w:r>
      <w:r w:rsidRPr="0017261C">
        <w:rPr>
          <w:rStyle w:val="normaltextrun"/>
          <w:rFonts w:ascii="Calibri" w:hAnsi="Calibri" w:cs="Calibri"/>
          <w:color w:val="000000"/>
        </w:rPr>
        <w:t xml:space="preserve"> envisages making the UPI code available as an inherent component of the </w:t>
      </w:r>
      <w:r>
        <w:rPr>
          <w:rStyle w:val="normaltextrun"/>
          <w:rFonts w:ascii="Calibri" w:hAnsi="Calibri" w:cs="Calibri"/>
          <w:color w:val="000000"/>
        </w:rPr>
        <w:t xml:space="preserve">OTC </w:t>
      </w:r>
      <w:r w:rsidRPr="0017261C">
        <w:rPr>
          <w:rStyle w:val="normaltextrun"/>
          <w:rFonts w:ascii="Calibri" w:hAnsi="Calibri" w:cs="Calibri"/>
          <w:color w:val="000000"/>
        </w:rPr>
        <w:t xml:space="preserve">ISIN record, and as such the UPI code would be available at </w:t>
      </w:r>
      <w:r>
        <w:t>23.55hrs UTC, T+0</w:t>
      </w:r>
      <w:r>
        <w:rPr>
          <w:rStyle w:val="normaltextrun"/>
          <w:rFonts w:ascii="Calibri" w:hAnsi="Calibri" w:cs="Calibri"/>
          <w:color w:val="000000"/>
        </w:rPr>
        <w:t>,</w:t>
      </w:r>
      <w:r w:rsidRPr="0017261C" w:rsidDel="00822C72">
        <w:rPr>
          <w:rStyle w:val="normaltextrun"/>
          <w:rFonts w:ascii="Calibri" w:hAnsi="Calibri" w:cs="Calibri"/>
          <w:color w:val="000000"/>
        </w:rPr>
        <w:t xml:space="preserve"> </w:t>
      </w:r>
      <w:r w:rsidRPr="0017261C">
        <w:rPr>
          <w:rStyle w:val="normaltextrun"/>
          <w:rFonts w:ascii="Calibri" w:hAnsi="Calibri" w:cs="Calibri"/>
          <w:color w:val="000000"/>
        </w:rPr>
        <w:t>but not the full UPI record, which would be available freely 24 hours later</w:t>
      </w:r>
      <w:r>
        <w:rPr>
          <w:rStyle w:val="normaltextrun"/>
          <w:rFonts w:ascii="Calibri" w:hAnsi="Calibri" w:cs="Calibri"/>
          <w:color w:val="000000"/>
        </w:rPr>
        <w:t xml:space="preserve"> at </w:t>
      </w:r>
      <w:r>
        <w:t>23.55hrs UTC, T+1</w:t>
      </w:r>
      <w:r w:rsidRPr="0017261C">
        <w:rPr>
          <w:rStyle w:val="normaltextrun"/>
          <w:rFonts w:ascii="Calibri" w:hAnsi="Calibri" w:cs="Calibri"/>
          <w:color w:val="000000"/>
        </w:rPr>
        <w:t xml:space="preserve">.  This is in response to respondents’ </w:t>
      </w:r>
      <w:r>
        <w:rPr>
          <w:rStyle w:val="normaltextrun"/>
          <w:rFonts w:ascii="Calibri" w:hAnsi="Calibri" w:cs="Calibri"/>
          <w:color w:val="000000"/>
        </w:rPr>
        <w:t>feedback</w:t>
      </w:r>
      <w:r w:rsidRPr="0017261C">
        <w:rPr>
          <w:rStyle w:val="normaltextrun"/>
          <w:rFonts w:ascii="Calibri" w:hAnsi="Calibri" w:cs="Calibri"/>
          <w:color w:val="000000"/>
        </w:rPr>
        <w:t xml:space="preserve"> for UPI data to be available early on T+1, but also attempts to balance the requirement to support the financial sustainability of the UPI service, and the principle of fairness for all participants.    </w:t>
      </w:r>
    </w:p>
    <w:p w:rsidRPr="00F678C3" w:rsidR="00F73E49" w:rsidP="001456B9" w:rsidRDefault="00F73E49" w14:paraId="2F397959" w14:textId="77777777">
      <w:pPr>
        <w:pStyle w:val="ListParagraph"/>
        <w:numPr>
          <w:ilvl w:val="0"/>
          <w:numId w:val="37"/>
        </w:numPr>
        <w:spacing w:before="120" w:after="0"/>
        <w:ind w:left="714" w:hanging="357"/>
        <w:contextualSpacing w:val="0"/>
        <w:jc w:val="both"/>
        <w:rPr>
          <w:rStyle w:val="normaltextrun"/>
          <w:rFonts w:ascii="Calibri" w:hAnsi="Calibri"/>
          <w:color w:val="000000"/>
          <w:u w:val="single"/>
        </w:rPr>
      </w:pPr>
      <w:r w:rsidRPr="00F678C3">
        <w:rPr>
          <w:rStyle w:val="normaltextrun"/>
          <w:rFonts w:ascii="Calibri" w:hAnsi="Calibri"/>
          <w:color w:val="000000"/>
          <w:u w:val="single"/>
        </w:rPr>
        <w:t>Excluding the UPI code from the OTC ISIN Record</w:t>
      </w:r>
    </w:p>
    <w:p w:rsidRPr="0017261C" w:rsidR="00F73E49" w:rsidP="003B5844" w:rsidRDefault="00F73E49" w14:paraId="4AF10CD2" w14:textId="77777777">
      <w:pPr>
        <w:jc w:val="both"/>
        <w:rPr>
          <w:rStyle w:val="normaltextrun"/>
          <w:rFonts w:ascii="Calibri" w:hAnsi="Calibri" w:cs="Calibri"/>
          <w:color w:val="000000"/>
        </w:rPr>
      </w:pPr>
      <w:r w:rsidRPr="0017261C">
        <w:rPr>
          <w:rStyle w:val="normaltextrun"/>
          <w:rFonts w:ascii="Calibri" w:hAnsi="Calibri" w:cs="Calibri"/>
          <w:color w:val="000000"/>
        </w:rPr>
        <w:t>An</w:t>
      </w:r>
      <w:r>
        <w:rPr>
          <w:rStyle w:val="normaltextrun"/>
          <w:rFonts w:ascii="Calibri" w:hAnsi="Calibri" w:cs="Calibri"/>
          <w:color w:val="000000"/>
        </w:rPr>
        <w:t xml:space="preserve"> additional alternative </w:t>
      </w:r>
      <w:r w:rsidRPr="0017261C">
        <w:rPr>
          <w:rStyle w:val="normaltextrun"/>
          <w:rFonts w:ascii="Calibri" w:hAnsi="Calibri" w:cs="Calibri"/>
          <w:color w:val="000000"/>
        </w:rPr>
        <w:t xml:space="preserve">option </w:t>
      </w:r>
      <w:r>
        <w:rPr>
          <w:rStyle w:val="normaltextrun"/>
          <w:rFonts w:ascii="Calibri" w:hAnsi="Calibri" w:cs="Calibri"/>
          <w:color w:val="000000"/>
        </w:rPr>
        <w:t>consider</w:t>
      </w:r>
      <w:r w:rsidRPr="0017261C">
        <w:rPr>
          <w:rStyle w:val="normaltextrun"/>
          <w:rFonts w:ascii="Calibri" w:hAnsi="Calibri" w:cs="Calibri"/>
          <w:color w:val="000000"/>
        </w:rPr>
        <w:t>ed</w:t>
      </w:r>
      <w:r>
        <w:rPr>
          <w:rStyle w:val="normaltextrun"/>
          <w:rFonts w:ascii="Calibri" w:hAnsi="Calibri" w:cs="Calibri"/>
          <w:color w:val="000000"/>
        </w:rPr>
        <w:t xml:space="preserve"> </w:t>
      </w:r>
      <w:r w:rsidRPr="0017261C">
        <w:rPr>
          <w:rStyle w:val="normaltextrun"/>
          <w:rFonts w:ascii="Calibri" w:hAnsi="Calibri" w:cs="Calibri"/>
          <w:color w:val="000000"/>
        </w:rPr>
        <w:t xml:space="preserve">was to </w:t>
      </w:r>
      <w:r>
        <w:rPr>
          <w:rStyle w:val="normaltextrun"/>
          <w:rFonts w:ascii="Calibri" w:hAnsi="Calibri" w:cs="Calibri"/>
          <w:color w:val="000000"/>
        </w:rPr>
        <w:t>not include</w:t>
      </w:r>
      <w:r w:rsidRPr="0017261C">
        <w:rPr>
          <w:rStyle w:val="normaltextrun"/>
          <w:rFonts w:ascii="Calibri" w:hAnsi="Calibri" w:cs="Calibri"/>
          <w:color w:val="000000"/>
        </w:rPr>
        <w:t xml:space="preserve"> the UPI code from the </w:t>
      </w:r>
      <w:r>
        <w:rPr>
          <w:rStyle w:val="normaltextrun"/>
          <w:rFonts w:ascii="Calibri" w:hAnsi="Calibri" w:cs="Calibri"/>
          <w:color w:val="000000"/>
        </w:rPr>
        <w:t xml:space="preserve">OTC </w:t>
      </w:r>
      <w:r w:rsidRPr="0017261C">
        <w:rPr>
          <w:rStyle w:val="normaltextrun"/>
          <w:rFonts w:ascii="Calibri" w:hAnsi="Calibri" w:cs="Calibri"/>
          <w:color w:val="000000"/>
        </w:rPr>
        <w:t xml:space="preserve">ISIN record </w:t>
      </w:r>
      <w:r>
        <w:rPr>
          <w:rStyle w:val="normaltextrun"/>
          <w:rFonts w:ascii="Calibri" w:hAnsi="Calibri" w:cs="Calibri"/>
          <w:color w:val="000000"/>
        </w:rPr>
        <w:t xml:space="preserve">when it is transmitted </w:t>
      </w:r>
      <w:r>
        <w:t>23.55hrs UTC, T+0</w:t>
      </w:r>
      <w:r>
        <w:rPr>
          <w:rStyle w:val="normaltextrun"/>
          <w:rFonts w:ascii="Calibri" w:hAnsi="Calibri" w:cs="Calibri"/>
          <w:color w:val="000000"/>
        </w:rPr>
        <w:t>.</w:t>
      </w:r>
      <w:r w:rsidRPr="0017261C" w:rsidDel="00F013A4">
        <w:rPr>
          <w:rStyle w:val="normaltextrun"/>
          <w:rFonts w:ascii="Calibri" w:hAnsi="Calibri" w:cs="Calibri"/>
          <w:color w:val="000000"/>
        </w:rPr>
        <w:t xml:space="preserve"> </w:t>
      </w:r>
      <w:r>
        <w:rPr>
          <w:rStyle w:val="normaltextrun"/>
          <w:rFonts w:ascii="Calibri" w:hAnsi="Calibri" w:cs="Calibri"/>
          <w:color w:val="000000"/>
        </w:rPr>
        <w:t xml:space="preserve">This would remove the risk of users leveraging the OTC ISIN record file to access the UPI data, which as described above might reduce the numbers of fee paying UPI service users to an unsustainable level.  </w:t>
      </w:r>
      <w:r w:rsidRPr="0017261C">
        <w:rPr>
          <w:rStyle w:val="normaltextrun"/>
          <w:rFonts w:ascii="Calibri" w:hAnsi="Calibri" w:cs="Calibri"/>
          <w:color w:val="000000"/>
        </w:rPr>
        <w:t>This option was discounted for several reasons:</w:t>
      </w:r>
    </w:p>
    <w:p w:rsidRPr="0017261C" w:rsidR="00F73E49" w:rsidP="00FF24E6" w:rsidRDefault="00F73E49" w14:paraId="1C85B313" w14:textId="77777777">
      <w:pPr>
        <w:jc w:val="both"/>
        <w:rPr>
          <w:rStyle w:val="normaltextrun"/>
          <w:rFonts w:ascii="Calibri" w:hAnsi="Calibri" w:cs="Calibri"/>
          <w:color w:val="000000"/>
        </w:rPr>
      </w:pPr>
      <w:r w:rsidRPr="0017261C">
        <w:rPr>
          <w:rStyle w:val="normaltextrun"/>
          <w:rFonts w:ascii="Calibri" w:hAnsi="Calibri" w:cs="Calibri"/>
          <w:color w:val="000000"/>
        </w:rPr>
        <w:t>•</w:t>
      </w:r>
      <w:r w:rsidRPr="0017261C">
        <w:rPr>
          <w:rStyle w:val="normaltextrun"/>
          <w:rFonts w:ascii="Calibri" w:hAnsi="Calibri" w:cs="Calibri"/>
          <w:color w:val="000000"/>
        </w:rPr>
        <w:tab/>
      </w:r>
      <w:r w:rsidRPr="0017261C">
        <w:rPr>
          <w:rStyle w:val="normaltextrun"/>
          <w:rFonts w:ascii="Calibri" w:hAnsi="Calibri" w:cs="Calibri"/>
          <w:color w:val="000000"/>
        </w:rPr>
        <w:t>Ignoring respondents’ feedback requesting UPI data be available early on T+</w:t>
      </w:r>
      <w:r>
        <w:rPr>
          <w:rStyle w:val="normaltextrun"/>
          <w:rFonts w:ascii="Calibri" w:hAnsi="Calibri" w:cs="Calibri"/>
          <w:color w:val="000000"/>
        </w:rPr>
        <w:t>0</w:t>
      </w:r>
    </w:p>
    <w:p w:rsidR="00F73E49" w:rsidP="001456B9" w:rsidRDefault="00F73E49" w14:paraId="5033B120" w14:textId="77777777">
      <w:pPr>
        <w:jc w:val="both"/>
        <w:rPr>
          <w:rStyle w:val="normaltextrun"/>
          <w:rFonts w:ascii="Calibri" w:hAnsi="Calibri" w:cs="Calibri"/>
          <w:color w:val="000000"/>
        </w:rPr>
      </w:pPr>
      <w:r w:rsidRPr="0017261C">
        <w:rPr>
          <w:rStyle w:val="normaltextrun"/>
          <w:rFonts w:ascii="Calibri" w:hAnsi="Calibri" w:cs="Calibri"/>
          <w:color w:val="000000"/>
        </w:rPr>
        <w:t>•</w:t>
      </w:r>
      <w:r w:rsidRPr="0017261C">
        <w:rPr>
          <w:rStyle w:val="normaltextrun"/>
          <w:rFonts w:ascii="Calibri" w:hAnsi="Calibri" w:cs="Calibri"/>
          <w:color w:val="000000"/>
        </w:rPr>
        <w:tab/>
      </w:r>
      <w:r w:rsidRPr="0017261C">
        <w:rPr>
          <w:rStyle w:val="normaltextrun"/>
          <w:rFonts w:ascii="Calibri" w:hAnsi="Calibri" w:cs="Calibri"/>
          <w:color w:val="000000"/>
        </w:rPr>
        <w:t>Contradicting the principle of preserving the data hierarchy between ISIN and UPI</w:t>
      </w:r>
    </w:p>
    <w:p w:rsidRPr="007B3DDD" w:rsidR="00F73E49" w:rsidP="001456B9" w:rsidRDefault="00F73E49" w14:paraId="6A1EEE91" w14:textId="77777777">
      <w:pPr>
        <w:jc w:val="both"/>
        <w:rPr>
          <w:rStyle w:val="normaltextrun"/>
          <w:rFonts w:ascii="Calibri" w:hAnsi="Calibri" w:cs="Calibri"/>
          <w:color w:val="000000"/>
        </w:rPr>
      </w:pPr>
      <w:r w:rsidRPr="0017261C">
        <w:rPr>
          <w:rStyle w:val="normaltextrun"/>
          <w:rFonts w:ascii="Calibri" w:hAnsi="Calibri" w:cs="Calibri"/>
          <w:color w:val="000000"/>
        </w:rPr>
        <w:t>•</w:t>
      </w:r>
      <w:r w:rsidRPr="0017261C">
        <w:rPr>
          <w:rStyle w:val="normaltextrun"/>
          <w:rFonts w:ascii="Calibri" w:hAnsi="Calibri" w:cs="Calibri"/>
          <w:color w:val="000000"/>
        </w:rPr>
        <w:tab/>
      </w:r>
      <w:r>
        <w:rPr>
          <w:rStyle w:val="normaltextrun"/>
          <w:rFonts w:ascii="Calibri" w:hAnsi="Calibri" w:cs="Calibri"/>
          <w:color w:val="000000"/>
        </w:rPr>
        <w:t>Introducing additional technical complexity to solve unrelated issues (i.e. financial sustainability / fairness)</w:t>
      </w:r>
    </w:p>
    <w:p w:rsidR="00F73E49" w:rsidP="00AB4C9D" w:rsidRDefault="00F73E49" w14:paraId="3FB317A1" w14:textId="77777777">
      <w:pPr>
        <w:jc w:val="both"/>
        <w:rPr>
          <w:u w:val="single"/>
        </w:rPr>
      </w:pPr>
    </w:p>
    <w:p w:rsidR="005A2B34" w:rsidP="005A2B34" w:rsidRDefault="005A2B34" w14:paraId="25EDF799" w14:textId="09D85F48">
      <w:pPr>
        <w:pStyle w:val="Heading2"/>
        <w:spacing w:before="0" w:line="276" w:lineRule="auto"/>
      </w:pPr>
      <w:bookmarkStart w:name="_Toc69801999" w:id="527"/>
      <w:bookmarkStart w:name="_Toc71369592" w:id="528"/>
      <w:r>
        <w:rPr>
          <w:noProof/>
        </w:rPr>
        <mc:AlternateContent>
          <mc:Choice Requires="wps">
            <w:drawing>
              <wp:anchor distT="45720" distB="45720" distL="114300" distR="114300" simplePos="0" relativeHeight="251658244" behindDoc="0" locked="0" layoutInCell="1" allowOverlap="1" wp14:anchorId="35407995" wp14:editId="77EF0151">
                <wp:simplePos x="0" y="0"/>
                <wp:positionH relativeFrom="margin">
                  <wp:posOffset>0</wp:posOffset>
                </wp:positionH>
                <wp:positionV relativeFrom="paragraph">
                  <wp:posOffset>314960</wp:posOffset>
                </wp:positionV>
                <wp:extent cx="5716905" cy="2206625"/>
                <wp:effectExtent l="0" t="0" r="17145" b="222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2206625"/>
                        </a:xfrm>
                        <a:prstGeom prst="rect">
                          <a:avLst/>
                        </a:prstGeom>
                        <a:solidFill>
                          <a:srgbClr val="FFFFFF"/>
                        </a:solidFill>
                        <a:ln w="9525">
                          <a:solidFill>
                            <a:srgbClr val="04AEB9"/>
                          </a:solidFill>
                          <a:miter lim="800000"/>
                          <a:headEnd/>
                          <a:tailEnd/>
                        </a:ln>
                      </wps:spPr>
                      <wps:txbx>
                        <w:txbxContent>
                          <w:p w:rsidR="006104FF" w:rsidP="001456B9" w:rsidRDefault="005A2B34" w14:paraId="1A1C3172" w14:textId="467FA66D">
                            <w:pPr>
                              <w:jc w:val="both"/>
                              <w:rPr>
                                <w:rStyle w:val="normaltextrun"/>
                                <w:rFonts w:ascii="Calibri" w:hAnsi="Calibri" w:cs="Calibri"/>
                                <w:color w:val="000000"/>
                              </w:rPr>
                            </w:pPr>
                            <w:r>
                              <w:rPr>
                                <w:rStyle w:val="normaltextrun"/>
                                <w:rFonts w:ascii="Calibri" w:hAnsi="Calibri" w:cs="Calibri"/>
                                <w:b/>
                                <w:bCs/>
                                <w:color w:val="000000"/>
                              </w:rPr>
                              <w:t xml:space="preserve">Summary: </w:t>
                            </w:r>
                            <w:r w:rsidR="00BB6B03">
                              <w:rPr>
                                <w:rStyle w:val="normaltextrun"/>
                                <w:rFonts w:ascii="Calibri" w:hAnsi="Calibri" w:cs="Calibri"/>
                                <w:color w:val="000000"/>
                              </w:rPr>
                              <w:t>The UPI fee model will be based on cost recovery, as aligned with the governance criteria, and</w:t>
                            </w:r>
                            <w:r>
                              <w:rPr>
                                <w:rStyle w:val="normaltextrun"/>
                                <w:rFonts w:ascii="Calibri" w:hAnsi="Calibri" w:cs="Calibri"/>
                                <w:color w:val="000000"/>
                              </w:rPr>
                              <w:t xml:space="preserve"> </w:t>
                            </w:r>
                            <w:r w:rsidR="0038075D">
                              <w:rPr>
                                <w:rStyle w:val="normaltextrun"/>
                                <w:rFonts w:ascii="Calibri" w:hAnsi="Calibri" w:cs="Calibri"/>
                                <w:color w:val="000000"/>
                              </w:rPr>
                              <w:t xml:space="preserve">is proposed to adopt a substantially similar fee model structure to that </w:t>
                            </w:r>
                            <w:r w:rsidR="00BB6B03">
                              <w:rPr>
                                <w:rStyle w:val="normaltextrun"/>
                                <w:rFonts w:ascii="Calibri" w:hAnsi="Calibri" w:cs="Calibri"/>
                                <w:color w:val="000000"/>
                              </w:rPr>
                              <w:t>of</w:t>
                            </w:r>
                            <w:r w:rsidR="0038075D">
                              <w:rPr>
                                <w:rStyle w:val="normaltextrun"/>
                                <w:rFonts w:ascii="Calibri" w:hAnsi="Calibri" w:cs="Calibri"/>
                                <w:color w:val="000000"/>
                              </w:rPr>
                              <w:t xml:space="preserve"> the existing OTC ISIN service. The proposed </w:t>
                            </w:r>
                            <w:r w:rsidR="00D879E3">
                              <w:rPr>
                                <w:rStyle w:val="normaltextrun"/>
                                <w:rFonts w:ascii="Calibri" w:hAnsi="Calibri" w:cs="Calibri"/>
                                <w:color w:val="000000"/>
                              </w:rPr>
                              <w:t xml:space="preserve">fee </w:t>
                            </w:r>
                            <w:r w:rsidR="0038075D">
                              <w:rPr>
                                <w:rStyle w:val="normaltextrun"/>
                                <w:rFonts w:ascii="Calibri" w:hAnsi="Calibri" w:cs="Calibri"/>
                                <w:color w:val="000000"/>
                              </w:rPr>
                              <w:t xml:space="preserve">model is expected to </w:t>
                            </w:r>
                            <w:r w:rsidR="00001E0E">
                              <w:rPr>
                                <w:rStyle w:val="normaltextrun"/>
                                <w:rFonts w:ascii="Calibri" w:hAnsi="Calibri" w:cs="Calibri"/>
                                <w:color w:val="000000"/>
                              </w:rPr>
                              <w:t xml:space="preserve">be applied to </w:t>
                            </w:r>
                            <w:r w:rsidR="0038075D">
                              <w:rPr>
                                <w:rStyle w:val="normaltextrun"/>
                                <w:rFonts w:ascii="Calibri" w:hAnsi="Calibri" w:cs="Calibri"/>
                                <w:color w:val="000000"/>
                              </w:rPr>
                              <w:t xml:space="preserve">four fee-paying user types, </w:t>
                            </w:r>
                            <w:r w:rsidR="00526F84">
                              <w:rPr>
                                <w:rStyle w:val="normaltextrun"/>
                                <w:rFonts w:ascii="Calibri" w:hAnsi="Calibri" w:cs="Calibri"/>
                                <w:color w:val="000000"/>
                              </w:rPr>
                              <w:t xml:space="preserve">which are divided into the UPI total estimated cost, </w:t>
                            </w:r>
                            <w:r w:rsidR="0038075D">
                              <w:rPr>
                                <w:rStyle w:val="normaltextrun"/>
                                <w:rFonts w:ascii="Calibri" w:hAnsi="Calibri" w:cs="Calibri"/>
                                <w:color w:val="000000"/>
                              </w:rPr>
                              <w:t>with the fee level varying according to user access type and user numbers.</w:t>
                            </w:r>
                          </w:p>
                          <w:p w:rsidRPr="00957138" w:rsidR="005A2B34" w:rsidP="001456B9" w:rsidRDefault="005A2B34" w14:paraId="3E33A439" w14:textId="378FF77A">
                            <w:pPr>
                              <w:jc w:val="both"/>
                              <w:rPr>
                                <w:b/>
                                <w:i/>
                                <w:lang w:eastAsia="ja-JP"/>
                              </w:rPr>
                            </w:pPr>
                            <w:r w:rsidRPr="00957138">
                              <w:rPr>
                                <w:b/>
                                <w:i/>
                                <w:lang w:eastAsia="ja-JP"/>
                              </w:rPr>
                              <w:t xml:space="preserve">Question </w:t>
                            </w:r>
                            <w:r>
                              <w:rPr>
                                <w:b/>
                                <w:i/>
                                <w:lang w:eastAsia="ja-JP"/>
                              </w:rPr>
                              <w:t>4</w:t>
                            </w:r>
                            <w:r w:rsidRPr="00957138">
                              <w:rPr>
                                <w:b/>
                                <w:i/>
                                <w:lang w:eastAsia="ja-JP"/>
                              </w:rPr>
                              <w:t>a: Do you concur with this approach</w:t>
                            </w:r>
                            <w:r w:rsidR="00667464">
                              <w:rPr>
                                <w:b/>
                                <w:i/>
                                <w:lang w:eastAsia="ja-JP"/>
                              </w:rPr>
                              <w:t xml:space="preserve"> to the User Fee Structure</w:t>
                            </w:r>
                            <w:r w:rsidRPr="00957138">
                              <w:rPr>
                                <w:b/>
                                <w:i/>
                                <w:lang w:eastAsia="ja-JP"/>
                              </w:rPr>
                              <w:t xml:space="preserve">? </w:t>
                            </w:r>
                          </w:p>
                          <w:p w:rsidRPr="00957138" w:rsidR="005A2B34" w:rsidDel="001165C9" w:rsidP="001456B9" w:rsidRDefault="005A2B34" w14:paraId="5E2FE211" w14:textId="7A83E8B1">
                            <w:pPr>
                              <w:jc w:val="both"/>
                              <w:rPr>
                                <w:rStyle w:val="normaltextrun"/>
                                <w:b/>
                                <w:i/>
                                <w:lang w:eastAsia="ja-JP"/>
                              </w:rPr>
                            </w:pPr>
                            <w:r w:rsidRPr="00957138">
                              <w:rPr>
                                <w:b/>
                                <w:i/>
                                <w:lang w:eastAsia="ja-JP"/>
                              </w:rPr>
                              <w:t xml:space="preserve">Question </w:t>
                            </w:r>
                            <w:r>
                              <w:rPr>
                                <w:b/>
                                <w:i/>
                                <w:lang w:eastAsia="ja-JP"/>
                              </w:rPr>
                              <w:t>4</w:t>
                            </w:r>
                            <w:r w:rsidRPr="00957138">
                              <w:rPr>
                                <w:b/>
                                <w:i/>
                                <w:lang w:eastAsia="ja-JP"/>
                              </w:rPr>
                              <w:t>b: If not, what specific alternate approach do you recommend? Please provide a clear rationale and any additional details you believe should be incorporated into the DSB’s approach.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6DE21A7">
              <v:shape id="_x0000_s1030" style="position:absolute;left:0;text-align:left;margin-left:0;margin-top:24.8pt;width:450.15pt;height:173.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04aeb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" w14:anchorId="35407995">
                <v:textbox>
                  <w:txbxContent>
                    <w:p w:rsidR="006104FF" w:rsidP="001456B9" w:rsidRDefault="005A2B34" w14:paraId="584847B7" w14:textId="467FA66D">
                      <w:pPr>
                        <w:jc w:val="both"/>
                        <w:rPr>
                          <w:rStyle w:val="normaltextrun"/>
                          <w:rFonts w:ascii="Calibri" w:hAnsi="Calibri" w:cs="Calibri"/>
                          <w:color w:val="000000"/>
                        </w:rPr>
                      </w:pPr>
                      <w:r>
                        <w:rPr>
                          <w:rStyle w:val="normaltextrun"/>
                          <w:rFonts w:ascii="Calibri" w:hAnsi="Calibri" w:cs="Calibri"/>
                          <w:b/>
                          <w:bCs/>
                          <w:color w:val="000000"/>
                        </w:rPr>
                        <w:t xml:space="preserve">Summary: </w:t>
                      </w:r>
                      <w:r w:rsidR="00BB6B03">
                        <w:rPr>
                          <w:rStyle w:val="normaltextrun"/>
                          <w:rFonts w:ascii="Calibri" w:hAnsi="Calibri" w:cs="Calibri"/>
                          <w:color w:val="000000"/>
                        </w:rPr>
                        <w:t>The UPI fee model will be based on cost recovery, as aligned with the governance criteria, and</w:t>
                      </w:r>
                      <w:r>
                        <w:rPr>
                          <w:rStyle w:val="normaltextrun"/>
                          <w:rFonts w:ascii="Calibri" w:hAnsi="Calibri" w:cs="Calibri"/>
                          <w:color w:val="000000"/>
                        </w:rPr>
                        <w:t xml:space="preserve"> </w:t>
                      </w:r>
                      <w:r w:rsidR="0038075D">
                        <w:rPr>
                          <w:rStyle w:val="normaltextrun"/>
                          <w:rFonts w:ascii="Calibri" w:hAnsi="Calibri" w:cs="Calibri"/>
                          <w:color w:val="000000"/>
                        </w:rPr>
                        <w:t xml:space="preserve">is proposed to adopt a substantially similar fee model structure to that </w:t>
                      </w:r>
                      <w:r w:rsidR="00BB6B03">
                        <w:rPr>
                          <w:rStyle w:val="normaltextrun"/>
                          <w:rFonts w:ascii="Calibri" w:hAnsi="Calibri" w:cs="Calibri"/>
                          <w:color w:val="000000"/>
                        </w:rPr>
                        <w:t>of</w:t>
                      </w:r>
                      <w:r w:rsidR="0038075D">
                        <w:rPr>
                          <w:rStyle w:val="normaltextrun"/>
                          <w:rFonts w:ascii="Calibri" w:hAnsi="Calibri" w:cs="Calibri"/>
                          <w:color w:val="000000"/>
                        </w:rPr>
                        <w:t xml:space="preserve"> the existing OTC ISIN service. The proposed </w:t>
                      </w:r>
                      <w:r w:rsidR="00D879E3">
                        <w:rPr>
                          <w:rStyle w:val="normaltextrun"/>
                          <w:rFonts w:ascii="Calibri" w:hAnsi="Calibri" w:cs="Calibri"/>
                          <w:color w:val="000000"/>
                        </w:rPr>
                        <w:t xml:space="preserve">fee </w:t>
                      </w:r>
                      <w:r w:rsidR="0038075D">
                        <w:rPr>
                          <w:rStyle w:val="normaltextrun"/>
                          <w:rFonts w:ascii="Calibri" w:hAnsi="Calibri" w:cs="Calibri"/>
                          <w:color w:val="000000"/>
                        </w:rPr>
                        <w:t xml:space="preserve">model is expected to </w:t>
                      </w:r>
                      <w:r w:rsidR="00001E0E">
                        <w:rPr>
                          <w:rStyle w:val="normaltextrun"/>
                          <w:rFonts w:ascii="Calibri" w:hAnsi="Calibri" w:cs="Calibri"/>
                          <w:color w:val="000000"/>
                        </w:rPr>
                        <w:t xml:space="preserve">be applied to </w:t>
                      </w:r>
                      <w:r w:rsidR="0038075D">
                        <w:rPr>
                          <w:rStyle w:val="normaltextrun"/>
                          <w:rFonts w:ascii="Calibri" w:hAnsi="Calibri" w:cs="Calibri"/>
                          <w:color w:val="000000"/>
                        </w:rPr>
                        <w:t xml:space="preserve">four fee-paying user types, </w:t>
                      </w:r>
                      <w:r w:rsidR="00526F84">
                        <w:rPr>
                          <w:rStyle w:val="normaltextrun"/>
                          <w:rFonts w:ascii="Calibri" w:hAnsi="Calibri" w:cs="Calibri"/>
                          <w:color w:val="000000"/>
                        </w:rPr>
                        <w:t xml:space="preserve">which are divided into the UPI total estimated cost, </w:t>
                      </w:r>
                      <w:r w:rsidR="0038075D">
                        <w:rPr>
                          <w:rStyle w:val="normaltextrun"/>
                          <w:rFonts w:ascii="Calibri" w:hAnsi="Calibri" w:cs="Calibri"/>
                          <w:color w:val="000000"/>
                        </w:rPr>
                        <w:t>with the fee level varying according to user access type and user numbers.</w:t>
                      </w:r>
                    </w:p>
                    <w:p w:rsidRPr="00957138" w:rsidR="005A2B34" w:rsidP="001456B9" w:rsidRDefault="005A2B34" w14:paraId="064CB1BD" w14:textId="378FF77A">
                      <w:pPr>
                        <w:jc w:val="both"/>
                        <w:rPr>
                          <w:b/>
                          <w:i/>
                          <w:lang w:eastAsia="ja-JP"/>
                        </w:rPr>
                      </w:pPr>
                      <w:r w:rsidRPr="00957138">
                        <w:rPr>
                          <w:b/>
                          <w:i/>
                          <w:lang w:eastAsia="ja-JP"/>
                        </w:rPr>
                        <w:t xml:space="preserve">Question </w:t>
                      </w:r>
                      <w:r>
                        <w:rPr>
                          <w:b/>
                          <w:i/>
                          <w:lang w:eastAsia="ja-JP"/>
                        </w:rPr>
                        <w:t>4</w:t>
                      </w:r>
                      <w:r w:rsidRPr="00957138">
                        <w:rPr>
                          <w:b/>
                          <w:i/>
                          <w:lang w:eastAsia="ja-JP"/>
                        </w:rPr>
                        <w:t>a: Do you concur with this approach</w:t>
                      </w:r>
                      <w:r w:rsidR="00667464">
                        <w:rPr>
                          <w:b/>
                          <w:i/>
                          <w:lang w:eastAsia="ja-JP"/>
                        </w:rPr>
                        <w:t xml:space="preserve"> to the User Fee Structure</w:t>
                      </w:r>
                      <w:r w:rsidRPr="00957138">
                        <w:rPr>
                          <w:b/>
                          <w:i/>
                          <w:lang w:eastAsia="ja-JP"/>
                        </w:rPr>
                        <w:t xml:space="preserve">? </w:t>
                      </w:r>
                    </w:p>
                    <w:p w:rsidRPr="00957138" w:rsidR="005A2B34" w:rsidDel="001165C9" w:rsidP="001456B9" w:rsidRDefault="005A2B34" w14:paraId="2FD8B88A" w14:textId="7A83E8B1">
                      <w:pPr>
                        <w:jc w:val="both"/>
                        <w:rPr>
                          <w:rStyle w:val="normaltextrun"/>
                          <w:b/>
                          <w:i/>
                          <w:lang w:eastAsia="ja-JP"/>
                        </w:rPr>
                      </w:pPr>
                      <w:r w:rsidRPr="00957138">
                        <w:rPr>
                          <w:b/>
                          <w:i/>
                          <w:lang w:eastAsia="ja-JP"/>
                        </w:rPr>
                        <w:t xml:space="preserve">Question </w:t>
                      </w:r>
                      <w:r>
                        <w:rPr>
                          <w:b/>
                          <w:i/>
                          <w:lang w:eastAsia="ja-JP"/>
                        </w:rPr>
                        <w:t>4</w:t>
                      </w:r>
                      <w:r w:rsidRPr="00957138">
                        <w:rPr>
                          <w:b/>
                          <w:i/>
                          <w:lang w:eastAsia="ja-JP"/>
                        </w:rPr>
                        <w:t>b: If not, what specific alternate approach do you recommend? Please provide a clear rationale and any additional details you believe should be incorporated into the DSB’s approach.</w:t>
                      </w:r>
                    </w:p>
                  </w:txbxContent>
                </v:textbox>
                <w10:wrap type="square" anchorx="margin"/>
              </v:shape>
            </w:pict>
          </mc:Fallback>
        </mc:AlternateContent>
      </w:r>
      <w:r>
        <w:t>User Fee Structure</w:t>
      </w:r>
      <w:bookmarkEnd w:id="527"/>
      <w:bookmarkEnd w:id="528"/>
    </w:p>
    <w:p w:rsidRPr="005E4D58" w:rsidR="00F73E49" w:rsidP="00F70FCA" w:rsidRDefault="00F73E49" w14:paraId="5BE3E092" w14:textId="77777777">
      <w:pPr>
        <w:spacing w:before="240"/>
        <w:rPr>
          <w:u w:val="single"/>
        </w:rPr>
      </w:pPr>
      <w:r w:rsidRPr="005E4D58">
        <w:rPr>
          <w:u w:val="single"/>
        </w:rPr>
        <w:t>DSB Proposal</w:t>
      </w:r>
      <w:r>
        <w:rPr>
          <w:u w:val="single"/>
        </w:rPr>
        <w:t>:</w:t>
      </w:r>
    </w:p>
    <w:p w:rsidRPr="00FB02B5" w:rsidR="00FB02B5" w:rsidP="001456B9" w:rsidRDefault="00FB02B5" w14:paraId="39112004" w14:textId="651BEB97">
      <w:pPr>
        <w:spacing w:before="240"/>
        <w:jc w:val="both"/>
        <w:rPr>
          <w:rFonts w:eastAsiaTheme="minorHAnsi"/>
          <w:lang w:val="en-GB"/>
        </w:rPr>
      </w:pPr>
      <w:r w:rsidRPr="00FB02B5">
        <w:rPr>
          <w:rFonts w:eastAsiaTheme="minorHAnsi"/>
          <w:lang w:val="en-GB"/>
        </w:rPr>
        <w:t xml:space="preserve">The workflows and associated user access levels proposed in Section 4.3 correspond to the three user access levels currently utilised by the DSB’s existing OTC ISIN service (Power User, Standard User and Infrequent User).  ‘User’ in this context refers to a fee-paying </w:t>
      </w:r>
      <w:r w:rsidR="00A34650">
        <w:rPr>
          <w:rFonts w:eastAsiaTheme="minorHAnsi"/>
          <w:lang w:val="en-GB"/>
        </w:rPr>
        <w:t>organi</w:t>
      </w:r>
      <w:r w:rsidR="00DD0292">
        <w:rPr>
          <w:rFonts w:eastAsiaTheme="minorHAnsi"/>
          <w:lang w:val="en-GB"/>
        </w:rPr>
        <w:t>z</w:t>
      </w:r>
      <w:r w:rsidR="00A34650">
        <w:rPr>
          <w:rFonts w:eastAsiaTheme="minorHAnsi"/>
          <w:lang w:val="en-GB"/>
        </w:rPr>
        <w:t>ation</w:t>
      </w:r>
      <w:r w:rsidRPr="00FB02B5">
        <w:rPr>
          <w:rFonts w:eastAsiaTheme="minorHAnsi"/>
          <w:lang w:val="en-GB"/>
        </w:rPr>
        <w:t xml:space="preserve">. As stated in Section 4.3 above, there will be a fourth ‘Search Only API User’ access level, which is currently under development. Due to this, the projected volumes for demand of the ‘Search Only API User’ access type are not yet available and therefore </w:t>
      </w:r>
      <w:r w:rsidR="0063183C">
        <w:rPr>
          <w:rFonts w:eastAsiaTheme="minorHAnsi"/>
          <w:lang w:val="en-GB"/>
        </w:rPr>
        <w:t xml:space="preserve">are </w:t>
      </w:r>
      <w:r w:rsidRPr="00FB02B5">
        <w:rPr>
          <w:rFonts w:eastAsiaTheme="minorHAnsi"/>
          <w:lang w:val="en-GB"/>
        </w:rPr>
        <w:t>not included in the below estimates.</w:t>
      </w:r>
    </w:p>
    <w:p w:rsidRPr="00FB02B5" w:rsidR="00FB02B5" w:rsidP="001456B9" w:rsidRDefault="00FB02B5" w14:paraId="4260E76F" w14:textId="78453DD8">
      <w:pPr>
        <w:spacing w:before="240"/>
        <w:jc w:val="both"/>
        <w:rPr>
          <w:rFonts w:eastAsiaTheme="minorHAnsi"/>
          <w:lang w:val="en-GB"/>
        </w:rPr>
      </w:pPr>
      <w:r w:rsidRPr="00FB02B5">
        <w:rPr>
          <w:rFonts w:eastAsiaTheme="minorHAnsi"/>
          <w:lang w:val="en-GB"/>
        </w:rPr>
        <w:t>The proposed fee model structure for the UPI service would be substantially similar in principle to that currently utilised by the DSB’s OTC ISIN service</w:t>
      </w:r>
      <w:r w:rsidR="00540609">
        <w:rPr>
          <w:rFonts w:eastAsiaTheme="minorHAnsi"/>
          <w:lang w:val="en-GB"/>
        </w:rPr>
        <w:t xml:space="preserve"> and</w:t>
      </w:r>
      <w:r w:rsidRPr="00FB02B5">
        <w:rPr>
          <w:rFonts w:eastAsiaTheme="minorHAnsi"/>
          <w:lang w:val="en-GB"/>
        </w:rPr>
        <w:t xml:space="preserve"> would differentiate between the four user access levels, with four corresponding fee levels.</w:t>
      </w:r>
    </w:p>
    <w:p w:rsidRPr="00FB02B5" w:rsidR="00FB02B5" w:rsidP="001456B9" w:rsidRDefault="00FB02B5" w14:paraId="1A9B6584" w14:textId="4429F82F">
      <w:pPr>
        <w:spacing w:before="240"/>
        <w:jc w:val="both"/>
        <w:rPr>
          <w:rFonts w:eastAsiaTheme="minorHAnsi"/>
          <w:lang w:val="en-GB"/>
        </w:rPr>
      </w:pPr>
      <w:r w:rsidRPr="00FB02B5">
        <w:rPr>
          <w:rFonts w:eastAsiaTheme="minorHAnsi"/>
          <w:lang w:val="en-GB"/>
        </w:rPr>
        <w:t>Fees would be calculated on annual</w:t>
      </w:r>
      <w:r w:rsidR="00AD7612">
        <w:rPr>
          <w:rFonts w:eastAsiaTheme="minorHAnsi"/>
          <w:lang w:val="en-GB"/>
        </w:rPr>
        <w:t>ly in advance</w:t>
      </w:r>
      <w:r w:rsidRPr="00FB02B5">
        <w:rPr>
          <w:rFonts w:eastAsiaTheme="minorHAnsi"/>
          <w:lang w:val="en-GB"/>
        </w:rPr>
        <w:t xml:space="preserve"> and would be exclusive of VAT (where applicable) with the initial invoice to be calculated in accordance with the proposal in </w:t>
      </w:r>
      <w:r w:rsidR="004A4744">
        <w:rPr>
          <w:rFonts w:eastAsiaTheme="minorHAnsi"/>
          <w:lang w:val="en-GB"/>
        </w:rPr>
        <w:t>Section</w:t>
      </w:r>
      <w:r w:rsidRPr="00FB02B5">
        <w:rPr>
          <w:rFonts w:eastAsiaTheme="minorHAnsi"/>
          <w:lang w:val="en-GB"/>
        </w:rPr>
        <w:t xml:space="preserve"> 4.</w:t>
      </w:r>
      <w:r w:rsidR="004A4744">
        <w:rPr>
          <w:rFonts w:eastAsiaTheme="minorHAnsi"/>
          <w:lang w:val="en-GB"/>
        </w:rPr>
        <w:t>9</w:t>
      </w:r>
      <w:r w:rsidRPr="00FB02B5">
        <w:rPr>
          <w:rFonts w:eastAsiaTheme="minorHAnsi"/>
          <w:lang w:val="en-GB"/>
        </w:rPr>
        <w:t xml:space="preserve"> below.</w:t>
      </w:r>
    </w:p>
    <w:p w:rsidR="00FB02B5" w:rsidP="001456B9" w:rsidRDefault="00FB02B5" w14:paraId="27BCA67E" w14:textId="2B0E5747">
      <w:pPr>
        <w:jc w:val="both"/>
      </w:pPr>
      <w:r w:rsidRPr="00F02E76">
        <w:rPr>
          <w:rFonts w:eastAsiaTheme="minorHAnsi"/>
          <w:lang w:val="en-GB"/>
        </w:rPr>
        <w:t>In creating the proposed UPI service user fee model structure, the ratio of user types from the DSB’s existing OTC ISIN service fee model has been used as a proxy.  The ratio (as percentages) for each fee-paying user type is projected to be as follows:</w:t>
      </w:r>
    </w:p>
    <w:p w:rsidRPr="008C726A" w:rsidR="000F0BD2" w:rsidP="001456B9" w:rsidRDefault="000F0BD2" w14:paraId="1FB855DB" w14:textId="6B088385">
      <w:pPr>
        <w:pStyle w:val="ListParagraph"/>
        <w:numPr>
          <w:ilvl w:val="0"/>
          <w:numId w:val="31"/>
        </w:numPr>
        <w:jc w:val="both"/>
        <w:rPr>
          <w:rFonts w:cstheme="minorHAnsi"/>
        </w:rPr>
      </w:pPr>
      <w:r w:rsidRPr="008C726A">
        <w:rPr>
          <w:rFonts w:cstheme="minorHAnsi"/>
        </w:rPr>
        <w:t>Power User fee</w:t>
      </w:r>
      <w:r w:rsidR="00586221">
        <w:rPr>
          <w:rFonts w:cstheme="minorHAnsi"/>
        </w:rPr>
        <w:t>:</w:t>
      </w:r>
      <w:r w:rsidR="00586221">
        <w:rPr>
          <w:rFonts w:cstheme="minorHAnsi"/>
        </w:rPr>
        <w:tab/>
      </w:r>
      <w:r w:rsidR="00586221">
        <w:rPr>
          <w:rFonts w:cstheme="minorHAnsi"/>
        </w:rPr>
        <w:tab/>
      </w:r>
      <w:r w:rsidRPr="008C726A">
        <w:rPr>
          <w:rFonts w:cstheme="minorHAnsi"/>
        </w:rPr>
        <w:t>60%</w:t>
      </w:r>
    </w:p>
    <w:p w:rsidRPr="008C726A" w:rsidR="000F0BD2" w:rsidP="001456B9" w:rsidRDefault="000F0BD2" w14:paraId="7DC273D1" w14:textId="26176849">
      <w:pPr>
        <w:pStyle w:val="ListParagraph"/>
        <w:numPr>
          <w:ilvl w:val="0"/>
          <w:numId w:val="31"/>
        </w:numPr>
        <w:jc w:val="both"/>
        <w:rPr>
          <w:rFonts w:cstheme="minorHAnsi"/>
        </w:rPr>
      </w:pPr>
      <w:r w:rsidRPr="008C726A">
        <w:rPr>
          <w:rFonts w:cstheme="minorHAnsi"/>
        </w:rPr>
        <w:t>Standard User fee</w:t>
      </w:r>
      <w:r w:rsidR="00586221">
        <w:rPr>
          <w:rFonts w:cstheme="minorHAnsi"/>
        </w:rPr>
        <w:t>:</w:t>
      </w:r>
      <w:r w:rsidR="00586221">
        <w:rPr>
          <w:rFonts w:cstheme="minorHAnsi"/>
        </w:rPr>
        <w:tab/>
      </w:r>
      <w:r w:rsidR="00586221">
        <w:rPr>
          <w:rFonts w:cstheme="minorHAnsi"/>
        </w:rPr>
        <w:tab/>
      </w:r>
      <w:r w:rsidRPr="008C726A">
        <w:rPr>
          <w:rFonts w:cstheme="minorHAnsi"/>
        </w:rPr>
        <w:t>10%</w:t>
      </w:r>
    </w:p>
    <w:p w:rsidR="000F0BD2" w:rsidP="001456B9" w:rsidRDefault="000F0BD2" w14:paraId="27E22126" w14:textId="1CAFFA06">
      <w:pPr>
        <w:pStyle w:val="ListParagraph"/>
        <w:numPr>
          <w:ilvl w:val="0"/>
          <w:numId w:val="31"/>
        </w:numPr>
        <w:jc w:val="both"/>
        <w:rPr>
          <w:rFonts w:cstheme="minorHAnsi"/>
        </w:rPr>
      </w:pPr>
      <w:r w:rsidRPr="008C726A">
        <w:rPr>
          <w:rFonts w:cstheme="minorHAnsi"/>
        </w:rPr>
        <w:t>Infrequent User Fee</w:t>
      </w:r>
      <w:r w:rsidR="00586221">
        <w:rPr>
          <w:rFonts w:cstheme="minorHAnsi"/>
        </w:rPr>
        <w:t>:</w:t>
      </w:r>
      <w:r w:rsidR="00586221">
        <w:rPr>
          <w:rFonts w:cstheme="minorHAnsi"/>
        </w:rPr>
        <w:tab/>
      </w:r>
      <w:r w:rsidRPr="008C726A">
        <w:rPr>
          <w:rFonts w:cstheme="minorHAnsi"/>
        </w:rPr>
        <w:t>30%</w:t>
      </w:r>
    </w:p>
    <w:p w:rsidRPr="002269F8" w:rsidR="002269F8" w:rsidP="001456B9" w:rsidRDefault="002269F8" w14:paraId="4716702F" w14:textId="77777777">
      <w:pPr>
        <w:jc w:val="both"/>
        <w:rPr>
          <w:rFonts w:cstheme="minorHAnsi"/>
          <w:lang w:val="en-GB"/>
        </w:rPr>
      </w:pPr>
      <w:r w:rsidRPr="002269F8">
        <w:rPr>
          <w:rFonts w:cstheme="minorHAnsi"/>
          <w:lang w:val="en-GB"/>
        </w:rPr>
        <w:t>As mentioned above, the projected volumes for demand of the new ‘Search Only API User’ access type are not yet available, hence this user type is not included in these percentage splits.</w:t>
      </w:r>
    </w:p>
    <w:p w:rsidRPr="002269F8" w:rsidR="002269F8" w:rsidP="001456B9" w:rsidRDefault="00175E05" w14:paraId="42DA9CDB" w14:textId="054E2E0E">
      <w:pPr>
        <w:jc w:val="both"/>
        <w:rPr>
          <w:rFonts w:cstheme="minorHAnsi"/>
          <w:lang w:val="en-GB"/>
        </w:rPr>
      </w:pPr>
      <w:r>
        <w:rPr>
          <w:rFonts w:cstheme="minorHAnsi"/>
          <w:lang w:val="en-GB"/>
        </w:rPr>
        <w:t>U</w:t>
      </w:r>
      <w:r w:rsidR="000E3BF1">
        <w:rPr>
          <w:rFonts w:cstheme="minorHAnsi"/>
          <w:lang w:val="en-GB"/>
        </w:rPr>
        <w:t>PI u</w:t>
      </w:r>
      <w:r>
        <w:rPr>
          <w:rFonts w:cstheme="minorHAnsi"/>
          <w:lang w:val="en-GB"/>
        </w:rPr>
        <w:t>ser f</w:t>
      </w:r>
      <w:r w:rsidRPr="002269F8" w:rsidR="002269F8">
        <w:rPr>
          <w:rFonts w:cstheme="minorHAnsi"/>
          <w:lang w:val="en-GB"/>
        </w:rPr>
        <w:t xml:space="preserve">ees </w:t>
      </w:r>
      <w:r w:rsidR="000E3BF1">
        <w:rPr>
          <w:rFonts w:cstheme="minorHAnsi"/>
          <w:lang w:val="en-GB"/>
        </w:rPr>
        <w:t>will be</w:t>
      </w:r>
      <w:r w:rsidRPr="002269F8" w:rsidR="002269F8">
        <w:rPr>
          <w:rFonts w:cstheme="minorHAnsi"/>
          <w:lang w:val="en-GB"/>
        </w:rPr>
        <w:t xml:space="preserve"> charged on a </w:t>
      </w:r>
      <w:r w:rsidR="00582E90">
        <w:rPr>
          <w:rFonts w:cstheme="minorHAnsi"/>
          <w:lang w:val="en-GB"/>
        </w:rPr>
        <w:t>c</w:t>
      </w:r>
      <w:r w:rsidRPr="002269F8" w:rsidR="002269F8">
        <w:rPr>
          <w:rFonts w:cstheme="minorHAnsi"/>
          <w:lang w:val="en-GB"/>
        </w:rPr>
        <w:t xml:space="preserve">ost </w:t>
      </w:r>
      <w:r w:rsidR="00582E90">
        <w:rPr>
          <w:rFonts w:cstheme="minorHAnsi"/>
          <w:lang w:val="en-GB"/>
        </w:rPr>
        <w:t>r</w:t>
      </w:r>
      <w:r w:rsidRPr="002269F8" w:rsidR="002269F8">
        <w:rPr>
          <w:rFonts w:cstheme="minorHAnsi"/>
          <w:lang w:val="en-GB"/>
        </w:rPr>
        <w:t xml:space="preserve">ecovery basis, </w:t>
      </w:r>
      <w:r>
        <w:rPr>
          <w:rFonts w:cstheme="minorHAnsi"/>
          <w:lang w:val="en-GB"/>
        </w:rPr>
        <w:t>as outlined in Section 4.6</w:t>
      </w:r>
      <w:r w:rsidRPr="002269F8" w:rsidR="002269F8">
        <w:rPr>
          <w:rFonts w:cstheme="minorHAnsi"/>
          <w:lang w:val="en-GB"/>
        </w:rPr>
        <w:t xml:space="preserve">, </w:t>
      </w:r>
      <w:r w:rsidR="009A4EAD">
        <w:rPr>
          <w:rFonts w:cstheme="minorHAnsi"/>
          <w:lang w:val="en-GB"/>
        </w:rPr>
        <w:t xml:space="preserve">with fee model variables used to determine the user fee per access </w:t>
      </w:r>
      <w:r w:rsidR="00FA7D32">
        <w:rPr>
          <w:rFonts w:cstheme="minorHAnsi"/>
          <w:lang w:val="en-GB"/>
        </w:rPr>
        <w:t>level.</w:t>
      </w:r>
      <w:r w:rsidR="009A4EAD">
        <w:rPr>
          <w:rFonts w:cstheme="minorHAnsi"/>
          <w:lang w:val="en-GB"/>
        </w:rPr>
        <w:t xml:space="preserve"> </w:t>
      </w:r>
      <w:r w:rsidR="00990282">
        <w:rPr>
          <w:rFonts w:cstheme="minorHAnsi"/>
          <w:lang w:val="en-GB"/>
        </w:rPr>
        <w:t xml:space="preserve">Based on the existing </w:t>
      </w:r>
      <w:r w:rsidR="00714B19">
        <w:rPr>
          <w:rFonts w:cstheme="minorHAnsi"/>
          <w:lang w:val="en-GB"/>
        </w:rPr>
        <w:t xml:space="preserve">fee model structure, the variables </w:t>
      </w:r>
      <w:r w:rsidR="000E3BF1">
        <w:rPr>
          <w:rFonts w:cstheme="minorHAnsi"/>
          <w:lang w:val="en-GB"/>
        </w:rPr>
        <w:t xml:space="preserve">to calculate the user fees </w:t>
      </w:r>
      <w:r w:rsidR="00714B19">
        <w:rPr>
          <w:rFonts w:cstheme="minorHAnsi"/>
          <w:lang w:val="en-GB"/>
        </w:rPr>
        <w:t>comprise the</w:t>
      </w:r>
      <w:r w:rsidR="009A4EAD">
        <w:rPr>
          <w:rFonts w:cstheme="minorHAnsi"/>
          <w:lang w:val="en-GB"/>
        </w:rPr>
        <w:t xml:space="preserve"> UPI </w:t>
      </w:r>
      <w:r w:rsidR="005E2B2B">
        <w:rPr>
          <w:rFonts w:cstheme="minorHAnsi"/>
          <w:lang w:val="en-GB"/>
        </w:rPr>
        <w:t xml:space="preserve">total </w:t>
      </w:r>
      <w:r w:rsidR="00714B19">
        <w:rPr>
          <w:rFonts w:cstheme="minorHAnsi"/>
          <w:lang w:val="en-GB"/>
        </w:rPr>
        <w:t>e</w:t>
      </w:r>
      <w:r w:rsidR="009A4EAD">
        <w:rPr>
          <w:rFonts w:cstheme="minorHAnsi"/>
          <w:lang w:val="en-GB"/>
        </w:rPr>
        <w:t>stimate cost</w:t>
      </w:r>
      <w:r w:rsidR="000E3BF1">
        <w:rPr>
          <w:rFonts w:cstheme="minorHAnsi"/>
          <w:lang w:val="en-GB"/>
        </w:rPr>
        <w:t xml:space="preserve"> </w:t>
      </w:r>
      <w:r w:rsidRPr="002269F8" w:rsidR="002269F8">
        <w:rPr>
          <w:rFonts w:cstheme="minorHAnsi"/>
          <w:lang w:val="en-GB"/>
        </w:rPr>
        <w:t xml:space="preserve">and </w:t>
      </w:r>
      <w:r w:rsidR="000E3BF1">
        <w:rPr>
          <w:rFonts w:cstheme="minorHAnsi"/>
          <w:lang w:val="en-GB"/>
        </w:rPr>
        <w:t>user numbers per fee paying access level.</w:t>
      </w:r>
      <w:r w:rsidRPr="002269F8" w:rsidR="009A4EAD">
        <w:rPr>
          <w:rFonts w:cstheme="minorHAnsi"/>
          <w:lang w:val="en-GB"/>
        </w:rPr>
        <w:t xml:space="preserve"> </w:t>
      </w:r>
      <w:r w:rsidR="000E3BF1">
        <w:rPr>
          <w:rFonts w:cstheme="minorHAnsi"/>
          <w:lang w:val="en-GB"/>
        </w:rPr>
        <w:t>Based on this model,</w:t>
      </w:r>
      <w:r w:rsidRPr="002269F8" w:rsidR="002269F8">
        <w:rPr>
          <w:rFonts w:cstheme="minorHAnsi"/>
          <w:lang w:val="en-GB"/>
        </w:rPr>
        <w:t xml:space="preserve"> the higher the number of users, the lower the fee per user.  </w:t>
      </w:r>
    </w:p>
    <w:p w:rsidRPr="002269F8" w:rsidR="002269F8" w:rsidP="001456B9" w:rsidRDefault="002269F8" w14:paraId="57C058F8" w14:textId="732C3F62">
      <w:pPr>
        <w:jc w:val="both"/>
        <w:rPr>
          <w:rFonts w:cstheme="minorHAnsi"/>
          <w:lang w:val="en-GB"/>
        </w:rPr>
      </w:pPr>
      <w:r w:rsidRPr="002269F8">
        <w:rPr>
          <w:rFonts w:cstheme="minorHAnsi"/>
          <w:lang w:val="en-GB"/>
        </w:rPr>
        <w:t xml:space="preserve">In order to determine the </w:t>
      </w:r>
      <w:r w:rsidR="002412B0">
        <w:rPr>
          <w:rFonts w:cstheme="minorHAnsi"/>
          <w:lang w:val="en-GB"/>
        </w:rPr>
        <w:t xml:space="preserve">annual </w:t>
      </w:r>
      <w:r w:rsidRPr="002269F8">
        <w:rPr>
          <w:rFonts w:cstheme="minorHAnsi"/>
          <w:lang w:val="en-GB"/>
        </w:rPr>
        <w:t>fees, the first element is to set the Infrequent User fee as a fixed amount. The rationale for a fixed fee that it is high enough not to disadvantage those Standard or Power Users but low enough to be acceptable to Infrequent and small volume UPI creators.</w:t>
      </w:r>
    </w:p>
    <w:p w:rsidRPr="002269F8" w:rsidR="002269F8" w:rsidP="001456B9" w:rsidRDefault="002269F8" w14:paraId="09221304" w14:textId="77777777">
      <w:pPr>
        <w:jc w:val="both"/>
        <w:rPr>
          <w:rFonts w:cstheme="minorHAnsi"/>
          <w:lang w:val="en-GB"/>
        </w:rPr>
      </w:pPr>
      <w:r w:rsidRPr="002269F8">
        <w:rPr>
          <w:rFonts w:cstheme="minorHAnsi"/>
          <w:lang w:val="en-GB"/>
        </w:rPr>
        <w:t xml:space="preserve">Following determination of the Infrequent User fee, the Power and Standard User fees are calculated using a ratio which includes user numbers by type (see calculation below). </w:t>
      </w:r>
    </w:p>
    <w:p w:rsidRPr="002269F8" w:rsidR="002269F8" w:rsidP="001456B9" w:rsidRDefault="002269F8" w14:paraId="7B4029A9" w14:textId="1557FBE8">
      <w:pPr>
        <w:jc w:val="both"/>
        <w:rPr>
          <w:rFonts w:cstheme="minorHAnsi"/>
          <w:lang w:val="en-GB"/>
        </w:rPr>
      </w:pPr>
      <w:r w:rsidRPr="002269F8">
        <w:rPr>
          <w:rFonts w:cstheme="minorHAnsi"/>
          <w:lang w:val="en-GB"/>
        </w:rPr>
        <w:t>As with the existing OTC ISIN service fee model, the Standard Users fee</w:t>
      </w:r>
      <w:r w:rsidR="00D867D9">
        <w:rPr>
          <w:rFonts w:cstheme="minorHAnsi"/>
          <w:lang w:val="en-GB"/>
        </w:rPr>
        <w:t xml:space="preserve"> i</w:t>
      </w:r>
      <w:r w:rsidRPr="002269F8">
        <w:rPr>
          <w:rFonts w:cstheme="minorHAnsi"/>
          <w:lang w:val="en-GB"/>
        </w:rPr>
        <w:t xml:space="preserve">s set to reflect the fact that such users are substantially cheaper for the DSB to support as the lack of a programmatic interface results in lower data throughput as well as lower infrastructure requirements. </w:t>
      </w:r>
    </w:p>
    <w:p w:rsidR="008367F0" w:rsidP="001456B9" w:rsidRDefault="002269F8" w14:paraId="2D28D200" w14:textId="29E4620A">
      <w:pPr>
        <w:jc w:val="both"/>
        <w:rPr>
          <w:rFonts w:cstheme="minorHAnsi"/>
          <w:lang w:val="en-GB"/>
        </w:rPr>
      </w:pPr>
      <w:r w:rsidRPr="002269F8">
        <w:rPr>
          <w:rFonts w:cstheme="minorHAnsi"/>
          <w:lang w:val="en-GB"/>
        </w:rPr>
        <w:t xml:space="preserve">The Power User fee is proposed to be three times greater than the Standard User fee which is consistent with the existing </w:t>
      </w:r>
      <w:r w:rsidR="001440F1">
        <w:rPr>
          <w:rFonts w:cstheme="minorHAnsi"/>
          <w:lang w:val="en-GB"/>
        </w:rPr>
        <w:t>service provision</w:t>
      </w:r>
      <w:r w:rsidRPr="002269F8">
        <w:rPr>
          <w:rFonts w:cstheme="minorHAnsi"/>
          <w:lang w:val="en-GB"/>
        </w:rPr>
        <w:t>, based on the respective functionality and connectivity.</w:t>
      </w:r>
      <w:r w:rsidR="001440F1">
        <w:rPr>
          <w:rFonts w:cstheme="minorHAnsi"/>
          <w:lang w:val="en-GB"/>
        </w:rPr>
        <w:t xml:space="preserve"> The calculation is represented as follows</w:t>
      </w:r>
      <w:r w:rsidR="008367F0">
        <w:rPr>
          <w:rFonts w:cstheme="minorHAnsi"/>
          <w:lang w:val="en-GB"/>
        </w:rPr>
        <w:t>:</w:t>
      </w:r>
      <w:r w:rsidRPr="00143E2C" w:rsidR="00143E2C">
        <w:rPr>
          <w:noProof/>
        </w:rPr>
        <w:t xml:space="preserve"> </w:t>
      </w:r>
      <w:r w:rsidR="00143E2C">
        <w:rPr>
          <w:noProof/>
        </w:rPr>
        <w:drawing>
          <wp:inline distT="0" distB="0" distL="0" distR="0" wp14:anchorId="57B14750" wp14:editId="758DA3D2">
            <wp:extent cx="5908675" cy="89020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4360" cy="907629"/>
                    </a:xfrm>
                    <a:prstGeom prst="rect">
                      <a:avLst/>
                    </a:prstGeom>
                  </pic:spPr>
                </pic:pic>
              </a:graphicData>
            </a:graphic>
          </wp:inline>
        </w:drawing>
      </w:r>
    </w:p>
    <w:p w:rsidRPr="002269F8" w:rsidR="002269F8" w:rsidP="001456B9" w:rsidRDefault="002269F8" w14:paraId="18562358" w14:textId="61F773E2">
      <w:pPr>
        <w:jc w:val="both"/>
        <w:rPr>
          <w:rFonts w:cstheme="minorHAnsi"/>
          <w:lang w:val="en-GB"/>
        </w:rPr>
      </w:pPr>
      <w:r w:rsidRPr="002269F8">
        <w:rPr>
          <w:rFonts w:cstheme="minorHAnsi"/>
          <w:lang w:val="en-GB"/>
        </w:rPr>
        <w:t xml:space="preserve">In an example </w:t>
      </w:r>
      <w:r w:rsidR="001440F1">
        <w:rPr>
          <w:rFonts w:cstheme="minorHAnsi"/>
          <w:lang w:val="en-GB"/>
        </w:rPr>
        <w:t>using</w:t>
      </w:r>
      <w:r w:rsidRPr="002269F8">
        <w:rPr>
          <w:rFonts w:cstheme="minorHAnsi"/>
          <w:lang w:val="en-GB"/>
        </w:rPr>
        <w:t xml:space="preserve"> 3,000 fee-paying </w:t>
      </w:r>
      <w:r w:rsidR="007E00B4">
        <w:rPr>
          <w:rFonts w:cstheme="minorHAnsi"/>
          <w:lang w:val="en-GB"/>
        </w:rPr>
        <w:t>organizations</w:t>
      </w:r>
      <w:r w:rsidRPr="002269F8">
        <w:rPr>
          <w:rFonts w:cstheme="minorHAnsi"/>
          <w:lang w:val="en-GB"/>
        </w:rPr>
        <w:t xml:space="preserve"> (‘users’) where the Total UPI Cost is estimated as €8,322k, and the Infrequent User fee is set at €135, the calculation is performed as follows: </w:t>
      </w:r>
    </w:p>
    <w:p w:rsidR="002269F8" w:rsidP="001456B9" w:rsidRDefault="008367F0" w14:paraId="3B969E57" w14:textId="161AA77F">
      <w:pPr>
        <w:jc w:val="both"/>
        <w:rPr>
          <w:rFonts w:cstheme="minorHAnsi"/>
          <w:lang w:val="en-GB"/>
        </w:rPr>
      </w:pPr>
      <w:r>
        <w:rPr>
          <w:noProof/>
        </w:rPr>
        <w:drawing>
          <wp:inline distT="0" distB="0" distL="0" distR="0" wp14:anchorId="6C3D9963" wp14:editId="3BA5A80E">
            <wp:extent cx="5410200" cy="862395"/>
            <wp:effectExtent l="0" t="0" r="0" b="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15"/>
                    <a:stretch>
                      <a:fillRect/>
                    </a:stretch>
                  </pic:blipFill>
                  <pic:spPr>
                    <a:xfrm>
                      <a:off x="0" y="0"/>
                      <a:ext cx="5493606" cy="875690"/>
                    </a:xfrm>
                    <a:prstGeom prst="rect">
                      <a:avLst/>
                    </a:prstGeom>
                  </pic:spPr>
                </pic:pic>
              </a:graphicData>
            </a:graphic>
          </wp:inline>
        </w:drawing>
      </w:r>
    </w:p>
    <w:p w:rsidRPr="002269F8" w:rsidR="002269F8" w:rsidP="001456B9" w:rsidRDefault="00952A6B" w14:paraId="2A757CB3" w14:textId="5E78E26D">
      <w:pPr>
        <w:jc w:val="both"/>
        <w:rPr>
          <w:rFonts w:cstheme="minorHAnsi"/>
          <w:lang w:val="en-GB"/>
        </w:rPr>
      </w:pPr>
      <w:r>
        <w:rPr>
          <w:rFonts w:cstheme="minorHAnsi"/>
          <w:lang w:val="en-GB"/>
        </w:rPr>
        <w:t>Resulting in</w:t>
      </w:r>
      <w:r w:rsidRPr="002269F8" w:rsidR="002269F8">
        <w:rPr>
          <w:rFonts w:cstheme="minorHAnsi"/>
          <w:lang w:val="en-GB"/>
        </w:rPr>
        <w:t xml:space="preserve"> the Standard User Fee = €1.4k</w:t>
      </w:r>
      <w:r>
        <w:rPr>
          <w:rFonts w:cstheme="minorHAnsi"/>
          <w:lang w:val="en-GB"/>
        </w:rPr>
        <w:t xml:space="preserve"> per annum</w:t>
      </w:r>
      <w:r w:rsidRPr="002269F8" w:rsidR="002269F8">
        <w:rPr>
          <w:rFonts w:cstheme="minorHAnsi"/>
          <w:lang w:val="en-GB"/>
        </w:rPr>
        <w:t>.</w:t>
      </w:r>
    </w:p>
    <w:p w:rsidRPr="002269F8" w:rsidR="002269F8" w:rsidP="001456B9" w:rsidRDefault="002269F8" w14:paraId="783D9A5E" w14:textId="5E935653">
      <w:pPr>
        <w:jc w:val="both"/>
        <w:rPr>
          <w:rFonts w:cstheme="minorHAnsi"/>
          <w:lang w:val="en-GB"/>
        </w:rPr>
      </w:pPr>
      <w:r w:rsidRPr="002269F8">
        <w:rPr>
          <w:rFonts w:cstheme="minorHAnsi"/>
          <w:lang w:val="en-GB"/>
        </w:rPr>
        <w:t>The Power User fee is</w:t>
      </w:r>
      <w:r w:rsidR="007A3C9F">
        <w:rPr>
          <w:rFonts w:cstheme="minorHAnsi"/>
          <w:lang w:val="en-GB"/>
        </w:rPr>
        <w:t xml:space="preserve"> </w:t>
      </w:r>
      <w:r w:rsidRPr="002269F8">
        <w:rPr>
          <w:rFonts w:cstheme="minorHAnsi"/>
          <w:lang w:val="en-GB"/>
        </w:rPr>
        <w:t xml:space="preserve">3 x Standard User Fee, </w:t>
      </w:r>
      <w:r w:rsidR="004A7C6D">
        <w:rPr>
          <w:rFonts w:cstheme="minorHAnsi"/>
          <w:lang w:val="en-GB"/>
        </w:rPr>
        <w:t>resulting in</w:t>
      </w:r>
      <w:r w:rsidR="008367F0">
        <w:rPr>
          <w:rFonts w:cstheme="minorHAnsi"/>
          <w:lang w:val="en-GB"/>
        </w:rPr>
        <w:t xml:space="preserve"> =</w:t>
      </w:r>
      <w:r w:rsidRPr="002269F8">
        <w:rPr>
          <w:rFonts w:cstheme="minorHAnsi"/>
          <w:lang w:val="en-GB"/>
        </w:rPr>
        <w:t xml:space="preserve"> €4.3k</w:t>
      </w:r>
      <w:r w:rsidR="00952A6B">
        <w:rPr>
          <w:rFonts w:cstheme="minorHAnsi"/>
          <w:lang w:val="en-GB"/>
        </w:rPr>
        <w:t xml:space="preserve"> per annum</w:t>
      </w:r>
      <w:r w:rsidRPr="002269F8">
        <w:rPr>
          <w:rFonts w:cstheme="minorHAnsi"/>
          <w:lang w:val="en-GB"/>
        </w:rPr>
        <w:t xml:space="preserve">. </w:t>
      </w:r>
    </w:p>
    <w:p w:rsidRPr="002269F8" w:rsidR="002269F8" w:rsidP="001456B9" w:rsidRDefault="002269F8" w14:paraId="6E5802F4" w14:textId="3F030DAA">
      <w:pPr>
        <w:jc w:val="both"/>
        <w:rPr>
          <w:rFonts w:cstheme="minorHAnsi"/>
          <w:lang w:val="en-GB"/>
        </w:rPr>
      </w:pPr>
      <w:r w:rsidRPr="002269F8">
        <w:rPr>
          <w:rFonts w:cstheme="minorHAnsi"/>
          <w:lang w:val="en-GB"/>
        </w:rPr>
        <w:t xml:space="preserve">To provide indicative user fees </w:t>
      </w:r>
      <w:r w:rsidR="004A7C6D">
        <w:rPr>
          <w:rFonts w:cstheme="minorHAnsi"/>
          <w:lang w:val="en-GB"/>
        </w:rPr>
        <w:t xml:space="preserve">for </w:t>
      </w:r>
      <w:r w:rsidR="005E2B2B">
        <w:rPr>
          <w:rFonts w:cstheme="minorHAnsi"/>
          <w:lang w:val="en-GB"/>
        </w:rPr>
        <w:t>a variety of</w:t>
      </w:r>
      <w:r w:rsidRPr="002269F8">
        <w:rPr>
          <w:rFonts w:cstheme="minorHAnsi"/>
          <w:lang w:val="en-GB"/>
        </w:rPr>
        <w:t xml:space="preserve"> different </w:t>
      </w:r>
      <w:r w:rsidR="005E2B2B">
        <w:rPr>
          <w:rFonts w:cstheme="minorHAnsi"/>
          <w:lang w:val="en-GB"/>
        </w:rPr>
        <w:t>user</w:t>
      </w:r>
      <w:r w:rsidRPr="002269F8">
        <w:rPr>
          <w:rFonts w:cstheme="minorHAnsi"/>
          <w:lang w:val="en-GB"/>
        </w:rPr>
        <w:t xml:space="preserve"> number levels, the below table shows four scenarios. These are illustrative only, with final fees being contingent on user numbers and </w:t>
      </w:r>
      <w:r w:rsidR="005E2B2B">
        <w:rPr>
          <w:rStyle w:val="normaltextrun"/>
          <w:rFonts w:ascii="Calibri" w:hAnsi="Calibri" w:cs="Calibri"/>
          <w:color w:val="000000"/>
        </w:rPr>
        <w:t>UPI total estimated</w:t>
      </w:r>
      <w:r>
        <w:rPr>
          <w:rStyle w:val="normaltextrun"/>
          <w:rFonts w:ascii="Calibri" w:hAnsi="Calibri" w:cs="Calibri"/>
          <w:color w:val="000000"/>
        </w:rPr>
        <w:t xml:space="preserve"> </w:t>
      </w:r>
      <w:r w:rsidRPr="002269F8">
        <w:rPr>
          <w:rFonts w:cstheme="minorHAnsi"/>
          <w:lang w:val="en-GB"/>
        </w:rPr>
        <w:t>cost:</w:t>
      </w:r>
    </w:p>
    <w:p w:rsidRPr="002269F8" w:rsidR="002269F8" w:rsidP="001456B9" w:rsidRDefault="005673FC" w14:paraId="41763FC1" w14:textId="09D079B4">
      <w:pPr>
        <w:jc w:val="both"/>
        <w:rPr>
          <w:rFonts w:cstheme="minorHAnsi"/>
          <w:lang w:val="en-GB"/>
        </w:rPr>
      </w:pPr>
      <w:r>
        <w:rPr>
          <w:noProof/>
        </w:rPr>
        <w:drawing>
          <wp:inline distT="0" distB="0" distL="0" distR="0" wp14:anchorId="5CFDD9CF" wp14:editId="31DC8D9E">
            <wp:extent cx="5731510" cy="6978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697865"/>
                    </a:xfrm>
                    <a:prstGeom prst="rect">
                      <a:avLst/>
                    </a:prstGeom>
                  </pic:spPr>
                </pic:pic>
              </a:graphicData>
            </a:graphic>
          </wp:inline>
        </w:drawing>
      </w:r>
      <w:r w:rsidRPr="002269F8" w:rsidR="002269F8">
        <w:rPr>
          <w:rFonts w:cstheme="minorHAnsi"/>
          <w:lang w:val="en-GB"/>
        </w:rPr>
        <w:t xml:space="preserve"> </w:t>
      </w:r>
    </w:p>
    <w:p w:rsidRPr="002269F8" w:rsidR="002269F8" w:rsidP="001456B9" w:rsidRDefault="002269F8" w14:paraId="7078A55A" w14:textId="40360549">
      <w:pPr>
        <w:jc w:val="both"/>
        <w:rPr>
          <w:rFonts w:cstheme="minorHAnsi"/>
          <w:lang w:val="en-GB"/>
        </w:rPr>
      </w:pPr>
      <w:r w:rsidRPr="002269F8">
        <w:rPr>
          <w:rFonts w:cstheme="minorHAnsi"/>
          <w:lang w:val="en-GB"/>
        </w:rPr>
        <w:t xml:space="preserve">The </w:t>
      </w:r>
      <w:r w:rsidR="00CB4D29">
        <w:rPr>
          <w:rFonts w:cstheme="minorHAnsi"/>
          <w:lang w:val="en-GB"/>
        </w:rPr>
        <w:t>Estimated Total UPI Cost</w:t>
      </w:r>
      <w:r w:rsidRPr="002269F8">
        <w:rPr>
          <w:rFonts w:cstheme="minorHAnsi"/>
          <w:lang w:val="en-GB"/>
        </w:rPr>
        <w:t xml:space="preserve"> increases in line with a higher number of </w:t>
      </w:r>
      <w:r w:rsidR="000750CC">
        <w:rPr>
          <w:rFonts w:cstheme="minorHAnsi"/>
          <w:lang w:val="en-GB"/>
        </w:rPr>
        <w:t>organi</w:t>
      </w:r>
      <w:r w:rsidR="00667464">
        <w:rPr>
          <w:rFonts w:cstheme="minorHAnsi"/>
          <w:lang w:val="en-GB"/>
        </w:rPr>
        <w:t>z</w:t>
      </w:r>
      <w:r w:rsidR="000750CC">
        <w:rPr>
          <w:rFonts w:cstheme="minorHAnsi"/>
          <w:lang w:val="en-GB"/>
        </w:rPr>
        <w:t>ations</w:t>
      </w:r>
      <w:r w:rsidRPr="002269F8">
        <w:rPr>
          <w:rFonts w:cstheme="minorHAnsi"/>
          <w:lang w:val="en-GB"/>
        </w:rPr>
        <w:t xml:space="preserve"> onboarded, due to the higher operational expenditure (</w:t>
      </w:r>
      <w:proofErr w:type="spellStart"/>
      <w:r w:rsidRPr="002269F8">
        <w:rPr>
          <w:rFonts w:cstheme="minorHAnsi"/>
          <w:lang w:val="en-GB"/>
        </w:rPr>
        <w:t>opex</w:t>
      </w:r>
      <w:proofErr w:type="spellEnd"/>
      <w:r w:rsidRPr="002269F8">
        <w:rPr>
          <w:rFonts w:cstheme="minorHAnsi"/>
          <w:lang w:val="en-GB"/>
        </w:rPr>
        <w:t xml:space="preserve">) to support the service provision. </w:t>
      </w:r>
    </w:p>
    <w:p w:rsidR="002269F8" w:rsidP="001456B9" w:rsidRDefault="002269F8" w14:paraId="29F4265D" w14:textId="4CA0BD46">
      <w:pPr>
        <w:jc w:val="both"/>
        <w:rPr>
          <w:rFonts w:cstheme="minorHAnsi"/>
          <w:lang w:val="en-GB"/>
        </w:rPr>
      </w:pPr>
      <w:r w:rsidRPr="002269F8">
        <w:rPr>
          <w:rFonts w:cstheme="minorHAnsi"/>
          <w:lang w:val="en-GB"/>
        </w:rPr>
        <w:t>Once the new ‘Search Only API User’ access type is introduced, this will lead to an adjustment of the user fee calculation. Indicatively, the fee for the ‘Search Only API User’ access type is proposed to be 50% of the Standard User fee.</w:t>
      </w:r>
    </w:p>
    <w:p w:rsidR="00D07B16" w:rsidP="001456B9" w:rsidRDefault="00834AA8" w14:paraId="1E02E995" w14:textId="2A71CCE3">
      <w:pPr>
        <w:jc w:val="both"/>
        <w:rPr>
          <w:rFonts w:cstheme="minorHAnsi"/>
          <w:lang w:val="en-GB"/>
        </w:rPr>
      </w:pPr>
      <w:r>
        <w:rPr>
          <w:rFonts w:cstheme="minorHAnsi"/>
          <w:lang w:val="en-GB"/>
        </w:rPr>
        <w:t>In order to ensure th</w:t>
      </w:r>
      <w:r w:rsidR="000D157C">
        <w:rPr>
          <w:rFonts w:cstheme="minorHAnsi"/>
          <w:lang w:val="en-GB"/>
        </w:rPr>
        <w:t xml:space="preserve">at the </w:t>
      </w:r>
      <w:r w:rsidR="00D933A2">
        <w:rPr>
          <w:rFonts w:cstheme="minorHAnsi"/>
          <w:lang w:val="en-GB"/>
        </w:rPr>
        <w:t>fee model is fit-for-purpose</w:t>
      </w:r>
      <w:r w:rsidR="007B2FD0">
        <w:rPr>
          <w:rFonts w:cstheme="minorHAnsi"/>
          <w:lang w:val="en-GB"/>
        </w:rPr>
        <w:t xml:space="preserve">, </w:t>
      </w:r>
      <w:r w:rsidR="00B71F63">
        <w:rPr>
          <w:rFonts w:cstheme="minorHAnsi"/>
          <w:lang w:val="en-GB"/>
        </w:rPr>
        <w:t xml:space="preserve">the DSB </w:t>
      </w:r>
      <w:r w:rsidR="007B2FD0">
        <w:rPr>
          <w:rFonts w:cstheme="minorHAnsi"/>
          <w:lang w:val="en-GB"/>
        </w:rPr>
        <w:t>plan</w:t>
      </w:r>
      <w:r w:rsidR="00B71F63">
        <w:rPr>
          <w:rFonts w:cstheme="minorHAnsi"/>
          <w:lang w:val="en-GB"/>
        </w:rPr>
        <w:t>s</w:t>
      </w:r>
      <w:r w:rsidR="007B2FD0">
        <w:rPr>
          <w:rFonts w:cstheme="minorHAnsi"/>
          <w:lang w:val="en-GB"/>
        </w:rPr>
        <w:t xml:space="preserve"> </w:t>
      </w:r>
      <w:r w:rsidR="00B33D73">
        <w:rPr>
          <w:rFonts w:cstheme="minorHAnsi"/>
          <w:lang w:val="en-GB"/>
        </w:rPr>
        <w:t xml:space="preserve">to conduct a further </w:t>
      </w:r>
      <w:r w:rsidR="00170F3C">
        <w:rPr>
          <w:rFonts w:cstheme="minorHAnsi"/>
          <w:lang w:val="en-GB"/>
        </w:rPr>
        <w:t>i</w:t>
      </w:r>
      <w:r w:rsidR="00B33D73">
        <w:rPr>
          <w:rFonts w:cstheme="minorHAnsi"/>
          <w:lang w:val="en-GB"/>
        </w:rPr>
        <w:t xml:space="preserve">ndustry </w:t>
      </w:r>
      <w:r w:rsidR="00170F3C">
        <w:rPr>
          <w:rFonts w:cstheme="minorHAnsi"/>
          <w:lang w:val="en-GB"/>
        </w:rPr>
        <w:t>c</w:t>
      </w:r>
      <w:r w:rsidR="00B33D73">
        <w:rPr>
          <w:rFonts w:cstheme="minorHAnsi"/>
          <w:lang w:val="en-GB"/>
        </w:rPr>
        <w:t>onsulta</w:t>
      </w:r>
      <w:r w:rsidR="000B70EA">
        <w:rPr>
          <w:rFonts w:cstheme="minorHAnsi"/>
          <w:lang w:val="en-GB"/>
        </w:rPr>
        <w:t>tion two years after the service Go Live</w:t>
      </w:r>
      <w:r w:rsidR="00170F3C">
        <w:rPr>
          <w:rFonts w:cstheme="minorHAnsi"/>
          <w:lang w:val="en-GB"/>
        </w:rPr>
        <w:t xml:space="preserve"> which will allow for user interactions </w:t>
      </w:r>
      <w:r w:rsidR="00946B03">
        <w:rPr>
          <w:rFonts w:cstheme="minorHAnsi"/>
          <w:lang w:val="en-GB"/>
        </w:rPr>
        <w:t xml:space="preserve">to be factored into the </w:t>
      </w:r>
      <w:r w:rsidR="00EA12C3">
        <w:rPr>
          <w:rFonts w:cstheme="minorHAnsi"/>
          <w:lang w:val="en-GB"/>
        </w:rPr>
        <w:t>approach to be taken forward</w:t>
      </w:r>
      <w:r w:rsidR="000B70EA">
        <w:rPr>
          <w:rFonts w:cstheme="minorHAnsi"/>
          <w:lang w:val="en-GB"/>
        </w:rPr>
        <w:t xml:space="preserve">. </w:t>
      </w:r>
    </w:p>
    <w:p w:rsidRPr="000B5DAB" w:rsidR="004E62B4" w:rsidP="001456B9" w:rsidRDefault="004E62B4" w14:paraId="5B41C3AD" w14:textId="77777777">
      <w:pPr>
        <w:jc w:val="both"/>
        <w:rPr>
          <w:rFonts w:cstheme="minorHAnsi"/>
        </w:rPr>
      </w:pPr>
    </w:p>
    <w:p w:rsidR="00BA0A37" w:rsidP="001456B9" w:rsidRDefault="00232460" w14:paraId="6949101E" w14:textId="6D26DFFD">
      <w:pPr>
        <w:pStyle w:val="Heading2"/>
        <w:jc w:val="both"/>
        <w:rPr>
          <w:u w:val="single"/>
        </w:rPr>
      </w:pPr>
      <w:bookmarkStart w:name="_Ref71364307" w:id="529"/>
      <w:bookmarkStart w:name="_Toc71369593" w:id="530"/>
      <w:r>
        <w:rPr>
          <w:noProof/>
          <w:lang w:eastAsia="en-GB"/>
        </w:rPr>
        <mc:AlternateContent>
          <mc:Choice Requires="wps">
            <w:drawing>
              <wp:anchor distT="45720" distB="45720" distL="114300" distR="114300" simplePos="0" relativeHeight="251658250" behindDoc="0" locked="0" layoutInCell="1" allowOverlap="1" wp14:anchorId="445343E1" wp14:editId="69B8AAA0">
                <wp:simplePos x="0" y="0"/>
                <wp:positionH relativeFrom="margin">
                  <wp:posOffset>39370</wp:posOffset>
                </wp:positionH>
                <wp:positionV relativeFrom="paragraph">
                  <wp:posOffset>344170</wp:posOffset>
                </wp:positionV>
                <wp:extent cx="5716905" cy="2755900"/>
                <wp:effectExtent l="0" t="0" r="17145" b="2540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2755900"/>
                        </a:xfrm>
                        <a:prstGeom prst="rect">
                          <a:avLst/>
                        </a:prstGeom>
                        <a:solidFill>
                          <a:srgbClr val="FFFFFF"/>
                        </a:solidFill>
                        <a:ln w="9525">
                          <a:solidFill>
                            <a:srgbClr val="04AEB9"/>
                          </a:solidFill>
                          <a:miter lim="800000"/>
                          <a:headEnd/>
                          <a:tailEnd/>
                        </a:ln>
                      </wps:spPr>
                      <wps:txbx>
                        <w:txbxContent>
                          <w:p w:rsidR="000F438E" w:rsidP="00E80D39" w:rsidRDefault="000F438E" w14:paraId="696123CF" w14:textId="77777777">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sidRPr="00856881">
                              <w:rPr>
                                <w:rStyle w:val="normaltextrun"/>
                                <w:rFonts w:asciiTheme="minorHAnsi" w:hAnsiTheme="minorHAnsi" w:cstheme="minorHAnsi"/>
                                <w:b/>
                                <w:bCs/>
                                <w:i/>
                                <w:iCs/>
                                <w:color w:val="000000"/>
                                <w:sz w:val="22"/>
                                <w:szCs w:val="22"/>
                              </w:rPr>
                              <w:t xml:space="preserve">Summary: </w:t>
                            </w:r>
                            <w:r w:rsidRPr="00625FC0">
                              <w:rPr>
                                <w:rFonts w:asciiTheme="minorHAnsi" w:hAnsiTheme="minorHAnsi" w:cstheme="minorHAnsi"/>
                                <w:sz w:val="22"/>
                                <w:szCs w:val="22"/>
                              </w:rPr>
                              <w:t xml:space="preserve">Current estimates of the UPI service </w:t>
                            </w:r>
                            <w:r w:rsidR="001A1C28">
                              <w:rPr>
                                <w:rFonts w:asciiTheme="minorHAnsi" w:hAnsiTheme="minorHAnsi" w:cstheme="minorHAnsi"/>
                                <w:sz w:val="22"/>
                                <w:szCs w:val="22"/>
                              </w:rPr>
                              <w:t xml:space="preserve">costs </w:t>
                            </w:r>
                            <w:r w:rsidRPr="00625FC0">
                              <w:rPr>
                                <w:rFonts w:asciiTheme="minorHAnsi" w:hAnsiTheme="minorHAnsi" w:cstheme="minorHAnsi"/>
                                <w:sz w:val="22"/>
                                <w:szCs w:val="22"/>
                              </w:rPr>
                              <w:t xml:space="preserve">are </w:t>
                            </w:r>
                            <w:r w:rsidR="00074E57">
                              <w:rPr>
                                <w:rFonts w:asciiTheme="minorHAnsi" w:hAnsiTheme="minorHAnsi" w:cstheme="minorHAnsi"/>
                                <w:sz w:val="22"/>
                                <w:szCs w:val="22"/>
                              </w:rPr>
                              <w:t xml:space="preserve">broken down as </w:t>
                            </w:r>
                            <w:r w:rsidRPr="00074E57" w:rsidR="00074E57">
                              <w:rPr>
                                <w:rFonts w:asciiTheme="minorHAnsi" w:hAnsiTheme="minorHAnsi" w:cstheme="minorHAnsi"/>
                                <w:sz w:val="22"/>
                                <w:szCs w:val="22"/>
                              </w:rPr>
                              <w:t>Estimate Capital Expenditure (Capex) – Build Costs for the period 2020-H1 2022, Estimate Time-Limited Costs and Estimate Operating Expenditure (</w:t>
                            </w:r>
                            <w:r w:rsidRPr="00074E57" w:rsidR="00074E57">
                              <w:rPr>
                                <w:rFonts w:asciiTheme="minorHAnsi" w:hAnsiTheme="minorHAnsi" w:cstheme="minorHAnsi"/>
                                <w:sz w:val="22"/>
                                <w:szCs w:val="22"/>
                              </w:rPr>
                              <w:t>Opex) based on an estimate of 3,000 fee-paying users</w:t>
                            </w:r>
                            <w:r w:rsidRPr="00625FC0">
                              <w:rPr>
                                <w:rFonts w:asciiTheme="minorHAnsi" w:hAnsiTheme="minorHAnsi" w:cstheme="minorHAnsi"/>
                                <w:sz w:val="22"/>
                                <w:szCs w:val="22"/>
                              </w:rPr>
                              <w:t>.</w:t>
                            </w:r>
                            <w:r w:rsidR="00595C70">
                              <w:rPr>
                                <w:rFonts w:asciiTheme="minorHAnsi" w:hAnsiTheme="minorHAnsi" w:cstheme="minorHAnsi"/>
                                <w:sz w:val="22"/>
                                <w:szCs w:val="22"/>
                              </w:rPr>
                              <w:t xml:space="preserve"> </w:t>
                            </w:r>
                            <w:r w:rsidR="001501AC">
                              <w:rPr>
                                <w:rFonts w:asciiTheme="minorHAnsi" w:hAnsiTheme="minorHAnsi" w:cstheme="minorHAnsi"/>
                                <w:sz w:val="22"/>
                                <w:szCs w:val="22"/>
                              </w:rPr>
                              <w:t xml:space="preserve">Costs </w:t>
                            </w:r>
                            <w:r w:rsidR="00595C70">
                              <w:rPr>
                                <w:rFonts w:asciiTheme="minorHAnsi" w:hAnsiTheme="minorHAnsi" w:cstheme="minorHAnsi"/>
                                <w:sz w:val="22"/>
                                <w:szCs w:val="22"/>
                              </w:rPr>
                              <w:t>include</w:t>
                            </w:r>
                            <w:r w:rsidR="001501AC">
                              <w:rPr>
                                <w:rFonts w:asciiTheme="minorHAnsi" w:hAnsiTheme="minorHAnsi" w:cstheme="minorHAnsi"/>
                                <w:sz w:val="22"/>
                                <w:szCs w:val="22"/>
                              </w:rPr>
                              <w:t xml:space="preserve"> the</w:t>
                            </w:r>
                            <w:r w:rsidR="00091B17">
                              <w:rPr>
                                <w:rFonts w:asciiTheme="minorHAnsi" w:hAnsiTheme="minorHAnsi" w:cstheme="minorHAnsi"/>
                                <w:sz w:val="22"/>
                                <w:szCs w:val="22"/>
                              </w:rPr>
                              <w:t xml:space="preserve"> application of </w:t>
                            </w:r>
                            <w:r w:rsidR="00DF686D">
                              <w:rPr>
                                <w:rFonts w:asciiTheme="minorHAnsi" w:hAnsiTheme="minorHAnsi" w:cstheme="minorHAnsi"/>
                                <w:sz w:val="22"/>
                                <w:szCs w:val="22"/>
                              </w:rPr>
                              <w:t xml:space="preserve">a </w:t>
                            </w:r>
                            <w:r w:rsidR="000834E2">
                              <w:rPr>
                                <w:rFonts w:asciiTheme="minorHAnsi" w:hAnsiTheme="minorHAnsi" w:cstheme="minorHAnsi"/>
                                <w:sz w:val="22"/>
                                <w:szCs w:val="22"/>
                              </w:rPr>
                              <w:t>Financial Sustainability Margin</w:t>
                            </w:r>
                            <w:r w:rsidR="00DF686D">
                              <w:rPr>
                                <w:rFonts w:asciiTheme="minorHAnsi" w:hAnsiTheme="minorHAnsi" w:cstheme="minorHAnsi"/>
                                <w:sz w:val="22"/>
                                <w:szCs w:val="22"/>
                              </w:rPr>
                              <w:t>,</w:t>
                            </w:r>
                            <w:r w:rsidR="000834E2">
                              <w:rPr>
                                <w:rFonts w:asciiTheme="minorHAnsi" w:hAnsiTheme="minorHAnsi" w:cstheme="minorHAnsi"/>
                                <w:sz w:val="22"/>
                                <w:szCs w:val="22"/>
                              </w:rPr>
                              <w:t xml:space="preserve"> </w:t>
                            </w:r>
                            <w:r w:rsidR="00745E71">
                              <w:rPr>
                                <w:rFonts w:asciiTheme="minorHAnsi" w:hAnsiTheme="minorHAnsi" w:cstheme="minorHAnsi"/>
                                <w:sz w:val="22"/>
                                <w:szCs w:val="22"/>
                              </w:rPr>
                              <w:t xml:space="preserve">to help </w:t>
                            </w:r>
                            <w:r w:rsidRPr="00745E71" w:rsidR="00745E71">
                              <w:rPr>
                                <w:rFonts w:asciiTheme="minorHAnsi" w:hAnsiTheme="minorHAnsi" w:cstheme="minorHAnsi"/>
                                <w:sz w:val="22"/>
                                <w:szCs w:val="22"/>
                              </w:rPr>
                              <w:t xml:space="preserve">to ensure the economic sustainability </w:t>
                            </w:r>
                            <w:r w:rsidR="00DF686D">
                              <w:rPr>
                                <w:rFonts w:asciiTheme="minorHAnsi" w:hAnsiTheme="minorHAnsi" w:cstheme="minorHAnsi"/>
                                <w:sz w:val="22"/>
                                <w:szCs w:val="22"/>
                              </w:rPr>
                              <w:t xml:space="preserve">of the service, </w:t>
                            </w:r>
                            <w:r w:rsidR="000834E2">
                              <w:rPr>
                                <w:rFonts w:asciiTheme="minorHAnsi" w:hAnsiTheme="minorHAnsi" w:cstheme="minorHAnsi"/>
                                <w:sz w:val="22"/>
                                <w:szCs w:val="22"/>
                              </w:rPr>
                              <w:t xml:space="preserve">and </w:t>
                            </w:r>
                            <w:r w:rsidR="00745E71">
                              <w:rPr>
                                <w:rFonts w:asciiTheme="minorHAnsi" w:hAnsiTheme="minorHAnsi" w:cstheme="minorHAnsi"/>
                                <w:sz w:val="22"/>
                                <w:szCs w:val="22"/>
                              </w:rPr>
                              <w:t xml:space="preserve">a </w:t>
                            </w:r>
                            <w:r w:rsidR="001501AC">
                              <w:rPr>
                                <w:rFonts w:asciiTheme="minorHAnsi" w:hAnsiTheme="minorHAnsi" w:cstheme="minorHAnsi"/>
                                <w:sz w:val="22"/>
                                <w:szCs w:val="22"/>
                              </w:rPr>
                              <w:t>contingency</w:t>
                            </w:r>
                            <w:r>
                              <w:rPr>
                                <w:rFonts w:asciiTheme="minorHAnsi" w:hAnsiTheme="minorHAnsi" w:cstheme="minorHAnsi"/>
                                <w:sz w:val="22"/>
                                <w:szCs w:val="22"/>
                              </w:rPr>
                              <w:t xml:space="preserve"> </w:t>
                            </w:r>
                            <w:r w:rsidR="00745E71">
                              <w:rPr>
                                <w:rFonts w:asciiTheme="minorHAnsi" w:hAnsiTheme="minorHAnsi" w:cstheme="minorHAnsi"/>
                                <w:sz w:val="22"/>
                                <w:szCs w:val="22"/>
                              </w:rPr>
                              <w:t xml:space="preserve">fund to address </w:t>
                            </w:r>
                            <w:r w:rsidRPr="004E7C55" w:rsidR="004E7C55">
                              <w:rPr>
                                <w:rFonts w:asciiTheme="minorHAnsi" w:hAnsiTheme="minorHAnsi" w:cstheme="minorHAnsi"/>
                                <w:sz w:val="22"/>
                                <w:szCs w:val="22"/>
                              </w:rPr>
                              <w:t xml:space="preserve">unplanned costs during the implementation </w:t>
                            </w:r>
                            <w:r w:rsidR="00114BEE">
                              <w:rPr>
                                <w:rFonts w:asciiTheme="minorHAnsi" w:hAnsiTheme="minorHAnsi" w:cstheme="minorHAnsi"/>
                                <w:sz w:val="22"/>
                                <w:szCs w:val="22"/>
                              </w:rPr>
                              <w:t xml:space="preserve">and first few years </w:t>
                            </w:r>
                            <w:r w:rsidRPr="004E7C55" w:rsidR="004E7C55">
                              <w:rPr>
                                <w:rFonts w:asciiTheme="minorHAnsi" w:hAnsiTheme="minorHAnsi" w:cstheme="minorHAnsi"/>
                                <w:sz w:val="22"/>
                                <w:szCs w:val="22"/>
                              </w:rPr>
                              <w:t>of the service</w:t>
                            </w:r>
                            <w:r w:rsidR="004E7C55">
                              <w:rPr>
                                <w:rFonts w:asciiTheme="minorHAnsi" w:hAnsiTheme="minorHAnsi" w:cstheme="minorHAnsi"/>
                                <w:sz w:val="22"/>
                                <w:szCs w:val="22"/>
                              </w:rPr>
                              <w:t>.</w:t>
                            </w:r>
                          </w:p>
                          <w:p w:rsidRPr="00790730" w:rsidR="000F438E" w:rsidP="00E80D39" w:rsidRDefault="004E7C55" w14:paraId="4EA7BBCD" w14:textId="77777777">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The c</w:t>
                            </w:r>
                            <w:r w:rsidRPr="00790730" w:rsidR="000F438E">
                              <w:rPr>
                                <w:rFonts w:asciiTheme="minorHAnsi" w:hAnsiTheme="minorHAnsi" w:cstheme="minorHAnsi"/>
                                <w:sz w:val="22"/>
                                <w:szCs w:val="22"/>
                              </w:rPr>
                              <w:t xml:space="preserve">ontingency </w:t>
                            </w:r>
                            <w:r w:rsidR="00114BEE">
                              <w:rPr>
                                <w:rFonts w:asciiTheme="minorHAnsi" w:hAnsiTheme="minorHAnsi" w:cstheme="minorHAnsi"/>
                                <w:sz w:val="22"/>
                                <w:szCs w:val="22"/>
                              </w:rPr>
                              <w:t>is proposed</w:t>
                            </w:r>
                            <w:r>
                              <w:rPr>
                                <w:rFonts w:asciiTheme="minorHAnsi" w:hAnsiTheme="minorHAnsi" w:cstheme="minorHAnsi"/>
                                <w:sz w:val="22"/>
                                <w:szCs w:val="22"/>
                              </w:rPr>
                              <w:t xml:space="preserve"> at </w:t>
                            </w:r>
                            <w:r w:rsidRPr="000B5DAB" w:rsidR="000F438E">
                              <w:rPr>
                                <w:rFonts w:asciiTheme="minorHAnsi" w:hAnsiTheme="minorHAnsi" w:cstheme="minorHAnsi"/>
                                <w:sz w:val="22"/>
                                <w:szCs w:val="22"/>
                              </w:rPr>
                              <w:t>20%</w:t>
                            </w:r>
                            <w:r w:rsidR="00114BEE">
                              <w:rPr>
                                <w:rFonts w:asciiTheme="minorHAnsi" w:hAnsiTheme="minorHAnsi" w:cstheme="minorHAnsi"/>
                                <w:sz w:val="22"/>
                                <w:szCs w:val="22"/>
                              </w:rPr>
                              <w:t xml:space="preserve"> of Capex and Opex costs</w:t>
                            </w:r>
                            <w:r w:rsidRPr="000B5DAB" w:rsidR="000F438E">
                              <w:rPr>
                                <w:rFonts w:asciiTheme="minorHAnsi" w:hAnsiTheme="minorHAnsi" w:cstheme="minorHAnsi"/>
                                <w:sz w:val="22"/>
                                <w:szCs w:val="22"/>
                              </w:rPr>
                              <w:t xml:space="preserve"> </w:t>
                            </w:r>
                            <w:r w:rsidR="00520234">
                              <w:rPr>
                                <w:rFonts w:asciiTheme="minorHAnsi" w:hAnsiTheme="minorHAnsi" w:cstheme="minorHAnsi"/>
                                <w:sz w:val="22"/>
                                <w:szCs w:val="22"/>
                              </w:rPr>
                              <w:t>and</w:t>
                            </w:r>
                            <w:r w:rsidRPr="000B5DAB" w:rsidR="000F438E">
                              <w:rPr>
                                <w:rFonts w:asciiTheme="minorHAnsi" w:hAnsiTheme="minorHAnsi" w:cstheme="minorHAnsi"/>
                                <w:sz w:val="22"/>
                                <w:szCs w:val="22"/>
                              </w:rPr>
                              <w:t xml:space="preserve"> cannot be used without the consent of the </w:t>
                            </w:r>
                            <w:r>
                              <w:rPr>
                                <w:rFonts w:asciiTheme="minorHAnsi" w:hAnsiTheme="minorHAnsi" w:cstheme="minorHAnsi"/>
                                <w:sz w:val="22"/>
                                <w:szCs w:val="22"/>
                              </w:rPr>
                              <w:t xml:space="preserve">DSB </w:t>
                            </w:r>
                            <w:r w:rsidRPr="000B5DAB" w:rsidR="000F438E">
                              <w:rPr>
                                <w:rFonts w:asciiTheme="minorHAnsi" w:hAnsiTheme="minorHAnsi" w:cstheme="minorHAnsi"/>
                                <w:sz w:val="22"/>
                                <w:szCs w:val="22"/>
                              </w:rPr>
                              <w:t>Board</w:t>
                            </w:r>
                            <w:r w:rsidRPr="00790730" w:rsidR="000F438E">
                              <w:rPr>
                                <w:rFonts w:asciiTheme="minorHAnsi" w:hAnsiTheme="minorHAnsi" w:cstheme="minorHAnsi"/>
                                <w:sz w:val="22"/>
                                <w:szCs w:val="22"/>
                              </w:rPr>
                              <w:t>.</w:t>
                            </w:r>
                          </w:p>
                          <w:p w:rsidRPr="000517B2" w:rsidR="000F438E" w:rsidP="00E80D39" w:rsidRDefault="000F438E" w14:paraId="13DC8E21" w14:textId="6520E747">
                            <w:pPr>
                              <w:spacing w:before="240"/>
                              <w:jc w:val="both"/>
                              <w:rPr>
                                <w:rFonts w:cstheme="minorHAnsi"/>
                                <w:b/>
                                <w:i/>
                              </w:rPr>
                            </w:pPr>
                            <w:r w:rsidRPr="000517B2">
                              <w:rPr>
                                <w:rFonts w:cstheme="minorHAnsi"/>
                                <w:b/>
                                <w:i/>
                              </w:rPr>
                              <w:t xml:space="preserve">Question </w:t>
                            </w:r>
                            <w:r w:rsidR="009E6CA5">
                              <w:rPr>
                                <w:rFonts w:cstheme="minorHAnsi"/>
                                <w:b/>
                                <w:i/>
                              </w:rPr>
                              <w:t xml:space="preserve">5a: </w:t>
                            </w:r>
                            <w:r w:rsidRPr="000517B2">
                              <w:rPr>
                                <w:rFonts w:cstheme="minorHAnsi"/>
                                <w:b/>
                                <w:i/>
                              </w:rPr>
                              <w:t xml:space="preserve">Do you </w:t>
                            </w:r>
                            <w:r w:rsidR="00114BEE">
                              <w:rPr>
                                <w:rFonts w:cstheme="minorHAnsi"/>
                                <w:b/>
                                <w:i/>
                              </w:rPr>
                              <w:t>concur</w:t>
                            </w:r>
                            <w:r w:rsidR="006E2DAF">
                              <w:rPr>
                                <w:rFonts w:cstheme="minorHAnsi"/>
                                <w:b/>
                                <w:i/>
                              </w:rPr>
                              <w:t xml:space="preserve"> with</w:t>
                            </w:r>
                            <w:r w:rsidR="00114BEE">
                              <w:rPr>
                                <w:rFonts w:cstheme="minorHAnsi"/>
                                <w:b/>
                                <w:i/>
                              </w:rPr>
                              <w:t xml:space="preserve"> the proposal to</w:t>
                            </w:r>
                            <w:r w:rsidR="006E2DAF">
                              <w:rPr>
                                <w:rFonts w:cstheme="minorHAnsi"/>
                                <w:b/>
                                <w:i/>
                              </w:rPr>
                              <w:t xml:space="preserve"> </w:t>
                            </w:r>
                            <w:r w:rsidR="00F56BE3">
                              <w:rPr>
                                <w:rFonts w:cstheme="minorHAnsi"/>
                                <w:b/>
                                <w:i/>
                              </w:rPr>
                              <w:t>apply a</w:t>
                            </w:r>
                            <w:r w:rsidR="008963ED">
                              <w:rPr>
                                <w:rFonts w:cstheme="minorHAnsi"/>
                                <w:b/>
                                <w:i/>
                              </w:rPr>
                              <w:t xml:space="preserve"> </w:t>
                            </w:r>
                            <w:r w:rsidRPr="008963ED" w:rsidR="008963ED">
                              <w:rPr>
                                <w:rFonts w:cstheme="minorHAnsi"/>
                                <w:b/>
                                <w:i/>
                              </w:rPr>
                              <w:t>20% contingency</w:t>
                            </w:r>
                            <w:r w:rsidR="006F5EFD">
                              <w:rPr>
                                <w:rFonts w:cstheme="minorHAnsi"/>
                                <w:b/>
                                <w:i/>
                              </w:rPr>
                              <w:t xml:space="preserve"> </w:t>
                            </w:r>
                            <w:r w:rsidR="00F56BE3">
                              <w:rPr>
                                <w:rFonts w:cstheme="minorHAnsi"/>
                                <w:b/>
                                <w:i/>
                              </w:rPr>
                              <w:t>fund</w:t>
                            </w:r>
                            <w:r w:rsidR="00114BEE">
                              <w:rPr>
                                <w:rFonts w:cstheme="minorHAnsi"/>
                                <w:b/>
                                <w:i/>
                              </w:rPr>
                              <w:t>?</w:t>
                            </w:r>
                          </w:p>
                          <w:p w:rsidRPr="000517B2" w:rsidR="000F438E" w:rsidP="00E80D39" w:rsidRDefault="000F438E" w14:paraId="0F45359F" w14:textId="76E45F5D">
                            <w:pPr>
                              <w:spacing w:before="240"/>
                              <w:jc w:val="both"/>
                              <w:rPr>
                                <w:b/>
                                <w:i/>
                                <w:color w:val="FF0000"/>
                                <w:lang w:eastAsia="ja-JP"/>
                              </w:rPr>
                            </w:pPr>
                            <w:r w:rsidRPr="000517B2">
                              <w:rPr>
                                <w:rFonts w:cstheme="minorHAnsi"/>
                                <w:b/>
                                <w:i/>
                              </w:rPr>
                              <w:t xml:space="preserve">Question </w:t>
                            </w:r>
                            <w:r w:rsidR="009E6CA5">
                              <w:rPr>
                                <w:rFonts w:cstheme="minorHAnsi"/>
                                <w:b/>
                                <w:i/>
                              </w:rPr>
                              <w:t>5b</w:t>
                            </w:r>
                            <w:r w:rsidRPr="000517B2">
                              <w:rPr>
                                <w:rFonts w:cstheme="minorHAnsi"/>
                                <w:b/>
                                <w:i/>
                              </w:rPr>
                              <w:t>: If not, what specific alternate approach do you recommend? Please provide a clear rationale and any additional details you believe should be incorporated into the DSB’s approach.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7A193C7">
              <v:shape id="Text Box 10" style="position:absolute;left:0;text-align:left;margin-left:3.1pt;margin-top:27.1pt;width:450.15pt;height:21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1" strokecolor="#04aeb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" w14:anchorId="445343E1">
                <v:textbox>
                  <w:txbxContent>
                    <w:p w:rsidR="000F438E" w:rsidP="00E80D39" w:rsidRDefault="000F438E" w14:paraId="617EC0CD" w14:textId="77777777">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sidRPr="00856881">
                        <w:rPr>
                          <w:rStyle w:val="normaltextrun"/>
                          <w:rFonts w:asciiTheme="minorHAnsi" w:hAnsiTheme="minorHAnsi" w:cstheme="minorHAnsi"/>
                          <w:b/>
                          <w:bCs/>
                          <w:i/>
                          <w:iCs/>
                          <w:color w:val="000000"/>
                          <w:sz w:val="22"/>
                          <w:szCs w:val="22"/>
                        </w:rPr>
                        <w:t xml:space="preserve">Summary: </w:t>
                      </w:r>
                      <w:r w:rsidRPr="00625FC0">
                        <w:rPr>
                          <w:rFonts w:asciiTheme="minorHAnsi" w:hAnsiTheme="minorHAnsi" w:cstheme="minorHAnsi"/>
                          <w:sz w:val="22"/>
                          <w:szCs w:val="22"/>
                        </w:rPr>
                        <w:t xml:space="preserve">Current estimates of the UPI service </w:t>
                      </w:r>
                      <w:r w:rsidR="001A1C28">
                        <w:rPr>
                          <w:rFonts w:asciiTheme="minorHAnsi" w:hAnsiTheme="minorHAnsi" w:cstheme="minorHAnsi"/>
                          <w:sz w:val="22"/>
                          <w:szCs w:val="22"/>
                        </w:rPr>
                        <w:t xml:space="preserve">costs </w:t>
                      </w:r>
                      <w:r w:rsidRPr="00625FC0">
                        <w:rPr>
                          <w:rFonts w:asciiTheme="minorHAnsi" w:hAnsiTheme="minorHAnsi" w:cstheme="minorHAnsi"/>
                          <w:sz w:val="22"/>
                          <w:szCs w:val="22"/>
                        </w:rPr>
                        <w:t xml:space="preserve">are </w:t>
                      </w:r>
                      <w:r w:rsidR="00074E57">
                        <w:rPr>
                          <w:rFonts w:asciiTheme="minorHAnsi" w:hAnsiTheme="minorHAnsi" w:cstheme="minorHAnsi"/>
                          <w:sz w:val="22"/>
                          <w:szCs w:val="22"/>
                        </w:rPr>
                        <w:t xml:space="preserve">broken down as </w:t>
                      </w:r>
                      <w:r w:rsidRPr="00074E57" w:rsidR="00074E57">
                        <w:rPr>
                          <w:rFonts w:asciiTheme="minorHAnsi" w:hAnsiTheme="minorHAnsi" w:cstheme="minorHAnsi"/>
                          <w:sz w:val="22"/>
                          <w:szCs w:val="22"/>
                        </w:rPr>
                        <w:t>Estimate Capital Expenditure (Capex) – Build Costs for the period 2020-H1 2022, Estimate Time-Limited Costs and Estimate Operating Expenditure (</w:t>
                      </w:r>
                      <w:r w:rsidRPr="00074E57" w:rsidR="00074E57">
                        <w:rPr>
                          <w:rFonts w:asciiTheme="minorHAnsi" w:hAnsiTheme="minorHAnsi" w:cstheme="minorHAnsi"/>
                          <w:sz w:val="22"/>
                          <w:szCs w:val="22"/>
                        </w:rPr>
                        <w:t>Opex) based on an estimate of 3,000 fee-paying users</w:t>
                      </w:r>
                      <w:r w:rsidRPr="00625FC0">
                        <w:rPr>
                          <w:rFonts w:asciiTheme="minorHAnsi" w:hAnsiTheme="minorHAnsi" w:cstheme="minorHAnsi"/>
                          <w:sz w:val="22"/>
                          <w:szCs w:val="22"/>
                        </w:rPr>
                        <w:t>.</w:t>
                      </w:r>
                      <w:r w:rsidR="00595C70">
                        <w:rPr>
                          <w:rFonts w:asciiTheme="minorHAnsi" w:hAnsiTheme="minorHAnsi" w:cstheme="minorHAnsi"/>
                          <w:sz w:val="22"/>
                          <w:szCs w:val="22"/>
                        </w:rPr>
                        <w:t xml:space="preserve"> </w:t>
                      </w:r>
                      <w:r w:rsidR="001501AC">
                        <w:rPr>
                          <w:rFonts w:asciiTheme="minorHAnsi" w:hAnsiTheme="minorHAnsi" w:cstheme="minorHAnsi"/>
                          <w:sz w:val="22"/>
                          <w:szCs w:val="22"/>
                        </w:rPr>
                        <w:t xml:space="preserve">Costs </w:t>
                      </w:r>
                      <w:r w:rsidR="00595C70">
                        <w:rPr>
                          <w:rFonts w:asciiTheme="minorHAnsi" w:hAnsiTheme="minorHAnsi" w:cstheme="minorHAnsi"/>
                          <w:sz w:val="22"/>
                          <w:szCs w:val="22"/>
                        </w:rPr>
                        <w:t>include</w:t>
                      </w:r>
                      <w:r w:rsidR="001501AC">
                        <w:rPr>
                          <w:rFonts w:asciiTheme="minorHAnsi" w:hAnsiTheme="minorHAnsi" w:cstheme="minorHAnsi"/>
                          <w:sz w:val="22"/>
                          <w:szCs w:val="22"/>
                        </w:rPr>
                        <w:t xml:space="preserve"> the</w:t>
                      </w:r>
                      <w:r w:rsidR="00091B17">
                        <w:rPr>
                          <w:rFonts w:asciiTheme="minorHAnsi" w:hAnsiTheme="minorHAnsi" w:cstheme="minorHAnsi"/>
                          <w:sz w:val="22"/>
                          <w:szCs w:val="22"/>
                        </w:rPr>
                        <w:t xml:space="preserve"> application of </w:t>
                      </w:r>
                      <w:r w:rsidR="00DF686D">
                        <w:rPr>
                          <w:rFonts w:asciiTheme="minorHAnsi" w:hAnsiTheme="minorHAnsi" w:cstheme="minorHAnsi"/>
                          <w:sz w:val="22"/>
                          <w:szCs w:val="22"/>
                        </w:rPr>
                        <w:t xml:space="preserve">a </w:t>
                      </w:r>
                      <w:r w:rsidR="000834E2">
                        <w:rPr>
                          <w:rFonts w:asciiTheme="minorHAnsi" w:hAnsiTheme="minorHAnsi" w:cstheme="minorHAnsi"/>
                          <w:sz w:val="22"/>
                          <w:szCs w:val="22"/>
                        </w:rPr>
                        <w:t>Financial Sustainability Margin</w:t>
                      </w:r>
                      <w:r w:rsidR="00DF686D">
                        <w:rPr>
                          <w:rFonts w:asciiTheme="minorHAnsi" w:hAnsiTheme="minorHAnsi" w:cstheme="minorHAnsi"/>
                          <w:sz w:val="22"/>
                          <w:szCs w:val="22"/>
                        </w:rPr>
                        <w:t>,</w:t>
                      </w:r>
                      <w:r w:rsidR="000834E2">
                        <w:rPr>
                          <w:rFonts w:asciiTheme="minorHAnsi" w:hAnsiTheme="minorHAnsi" w:cstheme="minorHAnsi"/>
                          <w:sz w:val="22"/>
                          <w:szCs w:val="22"/>
                        </w:rPr>
                        <w:t xml:space="preserve"> </w:t>
                      </w:r>
                      <w:r w:rsidR="00745E71">
                        <w:rPr>
                          <w:rFonts w:asciiTheme="minorHAnsi" w:hAnsiTheme="minorHAnsi" w:cstheme="minorHAnsi"/>
                          <w:sz w:val="22"/>
                          <w:szCs w:val="22"/>
                        </w:rPr>
                        <w:t xml:space="preserve">to help </w:t>
                      </w:r>
                      <w:r w:rsidRPr="00745E71" w:rsidR="00745E71">
                        <w:rPr>
                          <w:rFonts w:asciiTheme="minorHAnsi" w:hAnsiTheme="minorHAnsi" w:cstheme="minorHAnsi"/>
                          <w:sz w:val="22"/>
                          <w:szCs w:val="22"/>
                        </w:rPr>
                        <w:t xml:space="preserve">to ensure the economic sustainability </w:t>
                      </w:r>
                      <w:r w:rsidR="00DF686D">
                        <w:rPr>
                          <w:rFonts w:asciiTheme="minorHAnsi" w:hAnsiTheme="minorHAnsi" w:cstheme="minorHAnsi"/>
                          <w:sz w:val="22"/>
                          <w:szCs w:val="22"/>
                        </w:rPr>
                        <w:t xml:space="preserve">of the service, </w:t>
                      </w:r>
                      <w:r w:rsidR="000834E2">
                        <w:rPr>
                          <w:rFonts w:asciiTheme="minorHAnsi" w:hAnsiTheme="minorHAnsi" w:cstheme="minorHAnsi"/>
                          <w:sz w:val="22"/>
                          <w:szCs w:val="22"/>
                        </w:rPr>
                        <w:t xml:space="preserve">and </w:t>
                      </w:r>
                      <w:r w:rsidR="00745E71">
                        <w:rPr>
                          <w:rFonts w:asciiTheme="minorHAnsi" w:hAnsiTheme="minorHAnsi" w:cstheme="minorHAnsi"/>
                          <w:sz w:val="22"/>
                          <w:szCs w:val="22"/>
                        </w:rPr>
                        <w:t xml:space="preserve">a </w:t>
                      </w:r>
                      <w:r w:rsidR="001501AC">
                        <w:rPr>
                          <w:rFonts w:asciiTheme="minorHAnsi" w:hAnsiTheme="minorHAnsi" w:cstheme="minorHAnsi"/>
                          <w:sz w:val="22"/>
                          <w:szCs w:val="22"/>
                        </w:rPr>
                        <w:t>contingency</w:t>
                      </w:r>
                      <w:r>
                        <w:rPr>
                          <w:rFonts w:asciiTheme="minorHAnsi" w:hAnsiTheme="minorHAnsi" w:cstheme="minorHAnsi"/>
                          <w:sz w:val="22"/>
                          <w:szCs w:val="22"/>
                        </w:rPr>
                        <w:t xml:space="preserve"> </w:t>
                      </w:r>
                      <w:r w:rsidR="00745E71">
                        <w:rPr>
                          <w:rFonts w:asciiTheme="minorHAnsi" w:hAnsiTheme="minorHAnsi" w:cstheme="minorHAnsi"/>
                          <w:sz w:val="22"/>
                          <w:szCs w:val="22"/>
                        </w:rPr>
                        <w:t xml:space="preserve">fund to address </w:t>
                      </w:r>
                      <w:r w:rsidRPr="004E7C55" w:rsidR="004E7C55">
                        <w:rPr>
                          <w:rFonts w:asciiTheme="minorHAnsi" w:hAnsiTheme="minorHAnsi" w:cstheme="minorHAnsi"/>
                          <w:sz w:val="22"/>
                          <w:szCs w:val="22"/>
                        </w:rPr>
                        <w:t xml:space="preserve">unplanned costs during the implementation </w:t>
                      </w:r>
                      <w:r w:rsidR="00114BEE">
                        <w:rPr>
                          <w:rFonts w:asciiTheme="minorHAnsi" w:hAnsiTheme="minorHAnsi" w:cstheme="minorHAnsi"/>
                          <w:sz w:val="22"/>
                          <w:szCs w:val="22"/>
                        </w:rPr>
                        <w:t xml:space="preserve">and first few years </w:t>
                      </w:r>
                      <w:r w:rsidRPr="004E7C55" w:rsidR="004E7C55">
                        <w:rPr>
                          <w:rFonts w:asciiTheme="minorHAnsi" w:hAnsiTheme="minorHAnsi" w:cstheme="minorHAnsi"/>
                          <w:sz w:val="22"/>
                          <w:szCs w:val="22"/>
                        </w:rPr>
                        <w:t>of the service</w:t>
                      </w:r>
                      <w:r w:rsidR="004E7C55">
                        <w:rPr>
                          <w:rFonts w:asciiTheme="minorHAnsi" w:hAnsiTheme="minorHAnsi" w:cstheme="minorHAnsi"/>
                          <w:sz w:val="22"/>
                          <w:szCs w:val="22"/>
                        </w:rPr>
                        <w:t>.</w:t>
                      </w:r>
                    </w:p>
                    <w:p w:rsidRPr="00790730" w:rsidR="000F438E" w:rsidP="00E80D39" w:rsidRDefault="004E7C55" w14:paraId="10C432C2" w14:textId="77777777">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The c</w:t>
                      </w:r>
                      <w:r w:rsidRPr="00790730" w:rsidR="000F438E">
                        <w:rPr>
                          <w:rFonts w:asciiTheme="minorHAnsi" w:hAnsiTheme="minorHAnsi" w:cstheme="minorHAnsi"/>
                          <w:sz w:val="22"/>
                          <w:szCs w:val="22"/>
                        </w:rPr>
                        <w:t xml:space="preserve">ontingency </w:t>
                      </w:r>
                      <w:r w:rsidR="00114BEE">
                        <w:rPr>
                          <w:rFonts w:asciiTheme="minorHAnsi" w:hAnsiTheme="minorHAnsi" w:cstheme="minorHAnsi"/>
                          <w:sz w:val="22"/>
                          <w:szCs w:val="22"/>
                        </w:rPr>
                        <w:t>is proposed</w:t>
                      </w:r>
                      <w:r>
                        <w:rPr>
                          <w:rFonts w:asciiTheme="minorHAnsi" w:hAnsiTheme="minorHAnsi" w:cstheme="minorHAnsi"/>
                          <w:sz w:val="22"/>
                          <w:szCs w:val="22"/>
                        </w:rPr>
                        <w:t xml:space="preserve"> at </w:t>
                      </w:r>
                      <w:r w:rsidRPr="000B5DAB" w:rsidR="000F438E">
                        <w:rPr>
                          <w:rFonts w:asciiTheme="minorHAnsi" w:hAnsiTheme="minorHAnsi" w:cstheme="minorHAnsi"/>
                          <w:sz w:val="22"/>
                          <w:szCs w:val="22"/>
                        </w:rPr>
                        <w:t>20%</w:t>
                      </w:r>
                      <w:r w:rsidR="00114BEE">
                        <w:rPr>
                          <w:rFonts w:asciiTheme="minorHAnsi" w:hAnsiTheme="minorHAnsi" w:cstheme="minorHAnsi"/>
                          <w:sz w:val="22"/>
                          <w:szCs w:val="22"/>
                        </w:rPr>
                        <w:t xml:space="preserve"> of Capex and Opex costs</w:t>
                      </w:r>
                      <w:r w:rsidRPr="000B5DAB" w:rsidR="000F438E">
                        <w:rPr>
                          <w:rFonts w:asciiTheme="minorHAnsi" w:hAnsiTheme="minorHAnsi" w:cstheme="minorHAnsi"/>
                          <w:sz w:val="22"/>
                          <w:szCs w:val="22"/>
                        </w:rPr>
                        <w:t xml:space="preserve"> </w:t>
                      </w:r>
                      <w:r w:rsidR="00520234">
                        <w:rPr>
                          <w:rFonts w:asciiTheme="minorHAnsi" w:hAnsiTheme="minorHAnsi" w:cstheme="minorHAnsi"/>
                          <w:sz w:val="22"/>
                          <w:szCs w:val="22"/>
                        </w:rPr>
                        <w:t>and</w:t>
                      </w:r>
                      <w:r w:rsidRPr="000B5DAB" w:rsidR="000F438E">
                        <w:rPr>
                          <w:rFonts w:asciiTheme="minorHAnsi" w:hAnsiTheme="minorHAnsi" w:cstheme="minorHAnsi"/>
                          <w:sz w:val="22"/>
                          <w:szCs w:val="22"/>
                        </w:rPr>
                        <w:t xml:space="preserve"> cannot be used without the consent of the </w:t>
                      </w:r>
                      <w:r>
                        <w:rPr>
                          <w:rFonts w:asciiTheme="minorHAnsi" w:hAnsiTheme="minorHAnsi" w:cstheme="minorHAnsi"/>
                          <w:sz w:val="22"/>
                          <w:szCs w:val="22"/>
                        </w:rPr>
                        <w:t xml:space="preserve">DSB </w:t>
                      </w:r>
                      <w:r w:rsidRPr="000B5DAB" w:rsidR="000F438E">
                        <w:rPr>
                          <w:rFonts w:asciiTheme="minorHAnsi" w:hAnsiTheme="minorHAnsi" w:cstheme="minorHAnsi"/>
                          <w:sz w:val="22"/>
                          <w:szCs w:val="22"/>
                        </w:rPr>
                        <w:t>Board</w:t>
                      </w:r>
                      <w:r w:rsidRPr="00790730" w:rsidR="000F438E">
                        <w:rPr>
                          <w:rFonts w:asciiTheme="minorHAnsi" w:hAnsiTheme="minorHAnsi" w:cstheme="minorHAnsi"/>
                          <w:sz w:val="22"/>
                          <w:szCs w:val="22"/>
                        </w:rPr>
                        <w:t>.</w:t>
                      </w:r>
                    </w:p>
                    <w:p w:rsidRPr="000517B2" w:rsidR="000F438E" w:rsidP="00E80D39" w:rsidRDefault="000F438E" w14:paraId="78D6BE0F" w14:textId="6520E747">
                      <w:pPr>
                        <w:spacing w:before="240"/>
                        <w:jc w:val="both"/>
                        <w:rPr>
                          <w:rFonts w:cstheme="minorHAnsi"/>
                          <w:b/>
                          <w:i/>
                        </w:rPr>
                      </w:pPr>
                      <w:r w:rsidRPr="000517B2">
                        <w:rPr>
                          <w:rFonts w:cstheme="minorHAnsi"/>
                          <w:b/>
                          <w:i/>
                        </w:rPr>
                        <w:t xml:space="preserve">Question </w:t>
                      </w:r>
                      <w:r w:rsidR="009E6CA5">
                        <w:rPr>
                          <w:rFonts w:cstheme="minorHAnsi"/>
                          <w:b/>
                          <w:i/>
                        </w:rPr>
                        <w:t xml:space="preserve">5a: </w:t>
                      </w:r>
                      <w:r w:rsidRPr="000517B2">
                        <w:rPr>
                          <w:rFonts w:cstheme="minorHAnsi"/>
                          <w:b/>
                          <w:i/>
                        </w:rPr>
                        <w:t xml:space="preserve">Do you </w:t>
                      </w:r>
                      <w:r w:rsidR="00114BEE">
                        <w:rPr>
                          <w:rFonts w:cstheme="minorHAnsi"/>
                          <w:b/>
                          <w:i/>
                        </w:rPr>
                        <w:t>concur</w:t>
                      </w:r>
                      <w:r w:rsidR="006E2DAF">
                        <w:rPr>
                          <w:rFonts w:cstheme="minorHAnsi"/>
                          <w:b/>
                          <w:i/>
                        </w:rPr>
                        <w:t xml:space="preserve"> with</w:t>
                      </w:r>
                      <w:r w:rsidR="00114BEE">
                        <w:rPr>
                          <w:rFonts w:cstheme="minorHAnsi"/>
                          <w:b/>
                          <w:i/>
                        </w:rPr>
                        <w:t xml:space="preserve"> the proposal to</w:t>
                      </w:r>
                      <w:r w:rsidR="006E2DAF">
                        <w:rPr>
                          <w:rFonts w:cstheme="minorHAnsi"/>
                          <w:b/>
                          <w:i/>
                        </w:rPr>
                        <w:t xml:space="preserve"> </w:t>
                      </w:r>
                      <w:r w:rsidR="00F56BE3">
                        <w:rPr>
                          <w:rFonts w:cstheme="minorHAnsi"/>
                          <w:b/>
                          <w:i/>
                        </w:rPr>
                        <w:t>apply a</w:t>
                      </w:r>
                      <w:r w:rsidR="008963ED">
                        <w:rPr>
                          <w:rFonts w:cstheme="minorHAnsi"/>
                          <w:b/>
                          <w:i/>
                        </w:rPr>
                        <w:t xml:space="preserve"> </w:t>
                      </w:r>
                      <w:r w:rsidRPr="008963ED" w:rsidR="008963ED">
                        <w:rPr>
                          <w:rFonts w:cstheme="minorHAnsi"/>
                          <w:b/>
                          <w:i/>
                        </w:rPr>
                        <w:t>20% contingency</w:t>
                      </w:r>
                      <w:r w:rsidR="006F5EFD">
                        <w:rPr>
                          <w:rFonts w:cstheme="minorHAnsi"/>
                          <w:b/>
                          <w:i/>
                        </w:rPr>
                        <w:t xml:space="preserve"> </w:t>
                      </w:r>
                      <w:r w:rsidR="00F56BE3">
                        <w:rPr>
                          <w:rFonts w:cstheme="minorHAnsi"/>
                          <w:b/>
                          <w:i/>
                        </w:rPr>
                        <w:t>fund</w:t>
                      </w:r>
                      <w:r w:rsidR="00114BEE">
                        <w:rPr>
                          <w:rFonts w:cstheme="minorHAnsi"/>
                          <w:b/>
                          <w:i/>
                        </w:rPr>
                        <w:t>?</w:t>
                      </w:r>
                    </w:p>
                    <w:p w:rsidRPr="000517B2" w:rsidR="000F438E" w:rsidP="00E80D39" w:rsidRDefault="000F438E" w14:paraId="1E67DA7C" w14:textId="76E45F5D">
                      <w:pPr>
                        <w:spacing w:before="240"/>
                        <w:jc w:val="both"/>
                        <w:rPr>
                          <w:b/>
                          <w:i/>
                          <w:color w:val="FF0000"/>
                          <w:lang w:eastAsia="ja-JP"/>
                        </w:rPr>
                      </w:pPr>
                      <w:r w:rsidRPr="000517B2">
                        <w:rPr>
                          <w:rFonts w:cstheme="minorHAnsi"/>
                          <w:b/>
                          <w:i/>
                        </w:rPr>
                        <w:t xml:space="preserve">Question </w:t>
                      </w:r>
                      <w:r w:rsidR="009E6CA5">
                        <w:rPr>
                          <w:rFonts w:cstheme="minorHAnsi"/>
                          <w:b/>
                          <w:i/>
                        </w:rPr>
                        <w:t>5b</w:t>
                      </w:r>
                      <w:r w:rsidRPr="000517B2">
                        <w:rPr>
                          <w:rFonts w:cstheme="minorHAnsi"/>
                          <w:b/>
                          <w:i/>
                        </w:rPr>
                        <w:t>: If not, what specific alternate approach do you recommend? Please provide a clear rationale and any additional details you believe should be incorporated into the DSB’s approach.</w:t>
                      </w:r>
                    </w:p>
                  </w:txbxContent>
                </v:textbox>
                <w10:wrap type="square" anchorx="margin"/>
              </v:shape>
            </w:pict>
          </mc:Fallback>
        </mc:AlternateContent>
      </w:r>
      <w:r w:rsidR="00BA0A37">
        <w:rPr>
          <w:u w:val="single"/>
        </w:rPr>
        <w:t>UPI Cost Basis</w:t>
      </w:r>
      <w:bookmarkEnd w:id="529"/>
      <w:bookmarkEnd w:id="530"/>
      <w:r w:rsidR="00BA0A37">
        <w:rPr>
          <w:u w:val="single"/>
        </w:rPr>
        <w:t xml:space="preserve"> </w:t>
      </w:r>
    </w:p>
    <w:p w:rsidR="00D07B16" w:rsidP="003B5844" w:rsidRDefault="00D07B16" w14:paraId="4B3AAD0A" w14:textId="77777777">
      <w:pPr>
        <w:spacing w:before="240"/>
        <w:jc w:val="both"/>
        <w:rPr>
          <w:u w:val="single"/>
        </w:rPr>
      </w:pPr>
      <w:r>
        <w:rPr>
          <w:u w:val="single"/>
        </w:rPr>
        <w:t xml:space="preserve">DSB Proposal </w:t>
      </w:r>
    </w:p>
    <w:p w:rsidR="00A4599E" w:rsidP="00FF24E6" w:rsidRDefault="00F201AE" w14:paraId="461BC736" w14:textId="77777777">
      <w:pPr>
        <w:spacing w:before="240"/>
        <w:jc w:val="both"/>
        <w:rPr>
          <w:rStyle w:val="normaltextrun"/>
          <w:color w:val="000000"/>
        </w:rPr>
      </w:pPr>
      <w:r w:rsidRPr="00F201AE">
        <w:rPr>
          <w:rStyle w:val="normaltextrun"/>
          <w:color w:val="000000"/>
        </w:rPr>
        <w:t xml:space="preserve">The DSB will provide </w:t>
      </w:r>
      <w:r>
        <w:rPr>
          <w:rStyle w:val="normaltextrun"/>
          <w:color w:val="000000"/>
        </w:rPr>
        <w:t>UPI</w:t>
      </w:r>
      <w:r w:rsidRPr="00F201AE">
        <w:rPr>
          <w:rStyle w:val="normaltextrun"/>
          <w:color w:val="000000"/>
        </w:rPr>
        <w:t xml:space="preserve"> services on a cost recovery basis. This means that the revenues must be sufficient to ensure that the </w:t>
      </w:r>
      <w:r>
        <w:rPr>
          <w:rStyle w:val="normaltextrun"/>
          <w:color w:val="000000"/>
        </w:rPr>
        <w:t xml:space="preserve">DSB has the </w:t>
      </w:r>
      <w:r w:rsidRPr="00F201AE">
        <w:rPr>
          <w:rStyle w:val="normaltextrun"/>
          <w:color w:val="000000"/>
        </w:rPr>
        <w:t>financial viability to meet its continuing obligation to provide these services</w:t>
      </w:r>
      <w:r>
        <w:rPr>
          <w:rStyle w:val="normaltextrun"/>
          <w:color w:val="000000"/>
        </w:rPr>
        <w:t>.</w:t>
      </w:r>
      <w:r w:rsidRPr="00F201AE" w:rsidDel="00F201AE">
        <w:rPr>
          <w:rStyle w:val="normaltextrun"/>
          <w:color w:val="000000"/>
        </w:rPr>
        <w:t xml:space="preserve"> </w:t>
      </w:r>
    </w:p>
    <w:p w:rsidR="00D07B16" w:rsidP="001456B9" w:rsidRDefault="00A655CE" w14:paraId="094FDB5C" w14:textId="581D2102">
      <w:pPr>
        <w:spacing w:before="240"/>
        <w:jc w:val="both"/>
      </w:pPr>
      <w:r>
        <w:rPr>
          <w:rStyle w:val="normaltextrun"/>
          <w:color w:val="000000"/>
        </w:rPr>
        <w:t>T</w:t>
      </w:r>
      <w:r w:rsidRPr="002B116E" w:rsidR="00D07B16">
        <w:rPr>
          <w:rStyle w:val="normaltextrun"/>
          <w:color w:val="000000"/>
        </w:rPr>
        <w:t xml:space="preserve">he DSB requires a funding model that </w:t>
      </w:r>
      <w:r w:rsidR="009A66D1">
        <w:rPr>
          <w:rStyle w:val="normaltextrun"/>
          <w:color w:val="000000"/>
        </w:rPr>
        <w:t xml:space="preserve">helps to </w:t>
      </w:r>
      <w:r w:rsidRPr="002B116E" w:rsidR="00D07B16">
        <w:rPr>
          <w:rStyle w:val="normaltextrun"/>
          <w:color w:val="000000"/>
        </w:rPr>
        <w:t xml:space="preserve">ensure </w:t>
      </w:r>
      <w:r w:rsidRPr="003F5F8A" w:rsidR="009A66D1">
        <w:rPr>
          <w:rFonts w:cstheme="minorHAnsi"/>
        </w:rPr>
        <w:t xml:space="preserve">the economic sustainability of the UPI System </w:t>
      </w:r>
      <w:r w:rsidRPr="002B116E" w:rsidR="00D07B16">
        <w:rPr>
          <w:rStyle w:val="normaltextrun"/>
          <w:color w:val="000000"/>
        </w:rPr>
        <w:t xml:space="preserve">over time, </w:t>
      </w:r>
      <w:r w:rsidR="00943E34">
        <w:rPr>
          <w:rStyle w:val="normaltextrun"/>
          <w:color w:val="000000"/>
        </w:rPr>
        <w:t>as per the UPI governance cri</w:t>
      </w:r>
      <w:r w:rsidR="00A77F24">
        <w:rPr>
          <w:rStyle w:val="normaltextrun"/>
          <w:color w:val="000000"/>
        </w:rPr>
        <w:t>teria</w:t>
      </w:r>
      <w:r w:rsidR="00943E34">
        <w:rPr>
          <w:rStyle w:val="FootnoteReference"/>
          <w:color w:val="000000"/>
        </w:rPr>
        <w:footnoteReference w:id="17"/>
      </w:r>
      <w:r w:rsidRPr="002B116E" w:rsidR="00D07B16">
        <w:rPr>
          <w:rStyle w:val="normaltextrun"/>
          <w:color w:val="000000"/>
        </w:rPr>
        <w:t>, which includes efficiency</w:t>
      </w:r>
      <w:r w:rsidR="00531673">
        <w:rPr>
          <w:rStyle w:val="normaltextrun"/>
          <w:color w:val="000000"/>
        </w:rPr>
        <w:t>,</w:t>
      </w:r>
      <w:r w:rsidRPr="002B116E" w:rsidR="00D07B16">
        <w:rPr>
          <w:rStyle w:val="normaltextrun"/>
          <w:color w:val="000000"/>
        </w:rPr>
        <w:t xml:space="preserve"> reliability</w:t>
      </w:r>
      <w:r w:rsidR="00531673">
        <w:rPr>
          <w:rStyle w:val="normaltextrun"/>
          <w:color w:val="000000"/>
        </w:rPr>
        <w:t xml:space="preserve"> and </w:t>
      </w:r>
      <w:r w:rsidRPr="002B116E" w:rsidR="00D07B16">
        <w:rPr>
          <w:rStyle w:val="normaltextrun"/>
          <w:color w:val="000000"/>
        </w:rPr>
        <w:t xml:space="preserve">prudent financial management. </w:t>
      </w:r>
      <w:r w:rsidR="00D07B16">
        <w:t xml:space="preserve">As such, </w:t>
      </w:r>
      <w:r w:rsidR="00784517">
        <w:t xml:space="preserve">consistent with existing DSB practice, </w:t>
      </w:r>
      <w:r w:rsidR="00D07B16">
        <w:t xml:space="preserve">a ‘Financial Sustainability Margin’ (FSM) </w:t>
      </w:r>
      <w:r w:rsidR="002F0259">
        <w:t xml:space="preserve">of </w:t>
      </w:r>
      <w:r w:rsidR="00222935">
        <w:t>20%</w:t>
      </w:r>
      <w:r w:rsidR="00D07B16">
        <w:t xml:space="preserve"> is added to the total Capex and </w:t>
      </w:r>
      <w:proofErr w:type="spellStart"/>
      <w:r w:rsidR="00D07B16">
        <w:t>Opex</w:t>
      </w:r>
      <w:proofErr w:type="spellEnd"/>
      <w:r w:rsidR="00D07B16">
        <w:t xml:space="preserve"> costs before the </w:t>
      </w:r>
      <w:r w:rsidR="003E2ADD">
        <w:t>annual user</w:t>
      </w:r>
      <w:r w:rsidR="00D07B16">
        <w:t xml:space="preserve"> fees are calculated on a cost recovery basis. </w:t>
      </w:r>
      <w:r w:rsidR="007E2970">
        <w:t>T</w:t>
      </w:r>
      <w:r w:rsidR="00D07B16">
        <w:t>he purpose of the FSM is</w:t>
      </w:r>
      <w:r w:rsidR="00D050D0">
        <w:t>, in order of prioritization,</w:t>
      </w:r>
      <w:r w:rsidR="00D07B16">
        <w:t xml:space="preserve"> </w:t>
      </w:r>
      <w:r w:rsidR="00222935">
        <w:t xml:space="preserve">to </w:t>
      </w:r>
      <w:r w:rsidR="00FB0788">
        <w:t>cover the costs of</w:t>
      </w:r>
      <w:r w:rsidR="00D07B16">
        <w:t xml:space="preserve"> </w:t>
      </w:r>
      <w:r w:rsidRPr="00C649FA" w:rsidR="00C649FA">
        <w:t>the current and forthcoming business plan</w:t>
      </w:r>
      <w:r w:rsidR="00950656">
        <w:t xml:space="preserve"> in order to meet both regulatory and ongoing user expectations</w:t>
      </w:r>
      <w:r w:rsidRPr="00C649FA" w:rsidR="00C649FA">
        <w:t xml:space="preserve">, </w:t>
      </w:r>
      <w:r w:rsidR="00753525">
        <w:t xml:space="preserve">ensure adequate </w:t>
      </w:r>
      <w:r w:rsidR="003B0511">
        <w:t xml:space="preserve">financial </w:t>
      </w:r>
      <w:r w:rsidRPr="00C649FA" w:rsidR="00C649FA">
        <w:t xml:space="preserve">reserves, reinvest in the business and </w:t>
      </w:r>
      <w:r w:rsidR="003B0511">
        <w:t xml:space="preserve">provide </w:t>
      </w:r>
      <w:r w:rsidRPr="00C649FA" w:rsidR="00C649FA">
        <w:t>a reduction in cost</w:t>
      </w:r>
      <w:r w:rsidR="00D60C94">
        <w:t>s</w:t>
      </w:r>
      <w:r w:rsidR="002306F1">
        <w:t xml:space="preserve"> </w:t>
      </w:r>
      <w:r w:rsidRPr="00C649FA" w:rsidR="00C649FA">
        <w:t xml:space="preserve"> for users</w:t>
      </w:r>
      <w:r w:rsidR="00D07B16">
        <w:t xml:space="preserve">. </w:t>
      </w:r>
    </w:p>
    <w:p w:rsidR="001D63D4" w:rsidP="001456B9" w:rsidRDefault="001D63D4" w14:paraId="5A61F850" w14:textId="77457B6A">
      <w:pPr>
        <w:spacing w:before="240"/>
        <w:jc w:val="both"/>
      </w:pPr>
      <w:r>
        <w:t xml:space="preserve">The key cost drivers for the </w:t>
      </w:r>
      <w:r w:rsidRPr="003C1B13" w:rsidR="00BA6C8B">
        <w:rPr>
          <w:rFonts w:cstheme="minorHAnsi"/>
        </w:rPr>
        <w:t>UPI Total Estimate</w:t>
      </w:r>
      <w:r w:rsidR="0035450A">
        <w:rPr>
          <w:rFonts w:cstheme="minorHAnsi"/>
        </w:rPr>
        <w:t>d</w:t>
      </w:r>
      <w:r w:rsidRPr="003C1B13" w:rsidR="00BA6C8B">
        <w:rPr>
          <w:rFonts w:cstheme="minorHAnsi"/>
        </w:rPr>
        <w:t xml:space="preserve"> Cost </w:t>
      </w:r>
      <w:r>
        <w:t xml:space="preserve">are </w:t>
      </w:r>
      <w:r w:rsidR="00BA6C8B">
        <w:t xml:space="preserve">provided </w:t>
      </w:r>
      <w:r>
        <w:t xml:space="preserve">below, and </w:t>
      </w:r>
      <w:r w:rsidR="0035450A">
        <w:t>are</w:t>
      </w:r>
      <w:r>
        <w:t xml:space="preserve"> </w:t>
      </w:r>
      <w:r w:rsidR="0035450A">
        <w:t xml:space="preserve">indicative at </w:t>
      </w:r>
      <w:r>
        <w:t xml:space="preserve">this </w:t>
      </w:r>
      <w:r w:rsidR="0035450A">
        <w:t>time as these remain</w:t>
      </w:r>
      <w:r>
        <w:t xml:space="preserve"> subject to change pending </w:t>
      </w:r>
      <w:r w:rsidR="0035450A">
        <w:t xml:space="preserve">ongoing </w:t>
      </w:r>
      <w:r>
        <w:t xml:space="preserve">business and technical analysis </w:t>
      </w:r>
      <w:r w:rsidR="0035450A">
        <w:t>with the DSB PC and TAC groups as well as with the CDIDE</w:t>
      </w:r>
      <w:r w:rsidR="0035450A">
        <w:rPr>
          <w:rStyle w:val="FootnoteReference"/>
        </w:rPr>
        <w:footnoteReference w:id="18"/>
      </w:r>
      <w:r w:rsidR="0035450A">
        <w:t xml:space="preserve"> </w:t>
      </w:r>
      <w:r>
        <w:t>(for example</w:t>
      </w:r>
      <w:r w:rsidR="001F1033">
        <w:t>,</w:t>
      </w:r>
      <w:r>
        <w:t xml:space="preserve"> the operational costs of manual exception handling</w:t>
      </w:r>
      <w:r w:rsidR="001F1033">
        <w:t xml:space="preserve"> and the sourcing and integration of underlier reference data</w:t>
      </w:r>
      <w:r>
        <w:t>).</w:t>
      </w:r>
    </w:p>
    <w:p w:rsidR="006C1960" w:rsidP="001456B9" w:rsidRDefault="006821A4" w14:paraId="359E1D84" w14:textId="3B9875E5">
      <w:pPr>
        <w:spacing w:before="240"/>
        <w:jc w:val="both"/>
      </w:pPr>
      <w:r>
        <w:t xml:space="preserve">The </w:t>
      </w:r>
      <w:r w:rsidRPr="003C1B13" w:rsidR="00AA06E3">
        <w:rPr>
          <w:rFonts w:cstheme="minorHAnsi"/>
        </w:rPr>
        <w:t>UPI Total Estimate</w:t>
      </w:r>
      <w:r w:rsidR="00AA06E3">
        <w:rPr>
          <w:rFonts w:cstheme="minorHAnsi"/>
        </w:rPr>
        <w:t>d</w:t>
      </w:r>
      <w:r w:rsidRPr="003C1B13" w:rsidR="00AA06E3">
        <w:rPr>
          <w:rFonts w:cstheme="minorHAnsi"/>
        </w:rPr>
        <w:t xml:space="preserve"> </w:t>
      </w:r>
      <w:r w:rsidR="00AA06E3">
        <w:rPr>
          <w:rFonts w:cstheme="minorHAnsi"/>
        </w:rPr>
        <w:t>C</w:t>
      </w:r>
      <w:r>
        <w:t xml:space="preserve">osts include a 20% contingency </w:t>
      </w:r>
      <w:r w:rsidR="003C4F5B">
        <w:t xml:space="preserve">fund </w:t>
      </w:r>
      <w:r>
        <w:t xml:space="preserve">to cover unplanned </w:t>
      </w:r>
      <w:r w:rsidR="003C1FFC">
        <w:t xml:space="preserve">expenditure </w:t>
      </w:r>
      <w:r>
        <w:t xml:space="preserve"> during the implementation of the service</w:t>
      </w:r>
      <w:r w:rsidR="003C1FFC">
        <w:t xml:space="preserve">, in keeping with </w:t>
      </w:r>
      <w:r w:rsidR="00E91ED8">
        <w:t xml:space="preserve"> </w:t>
      </w:r>
      <w:r>
        <w:t>industry practice for projects of this scale and complexity</w:t>
      </w:r>
      <w:r w:rsidR="00E91ED8">
        <w:t>.</w:t>
      </w:r>
      <w:r w:rsidR="00036495">
        <w:t xml:space="preserve"> The contin</w:t>
      </w:r>
      <w:r w:rsidR="00522E9F">
        <w:t>gency is proposed to apply</w:t>
      </w:r>
      <w:r w:rsidRPr="00E91ED8" w:rsidR="00E91ED8">
        <w:t xml:space="preserve"> </w:t>
      </w:r>
      <w:r w:rsidR="00ED6E9D">
        <w:t xml:space="preserve">only </w:t>
      </w:r>
      <w:r w:rsidRPr="00E91ED8" w:rsidR="00E91ED8">
        <w:t>in the first few years of operation whilst u</w:t>
      </w:r>
      <w:r w:rsidR="003C1FFC">
        <w:t xml:space="preserve">tilization </w:t>
      </w:r>
      <w:r w:rsidRPr="00E91ED8" w:rsidR="00E91ED8">
        <w:t>patterns and the cost base is stabilizing</w:t>
      </w:r>
      <w:r w:rsidR="00ED6E9D">
        <w:t>, and will be discontinued thereafter</w:t>
      </w:r>
      <w:r w:rsidRPr="00E91ED8" w:rsidR="00E91ED8">
        <w:t xml:space="preserve">. This provides the flexibility to respond to developments without needing to </w:t>
      </w:r>
      <w:r w:rsidR="002E6A65">
        <w:t xml:space="preserve">amend </w:t>
      </w:r>
      <w:r w:rsidRPr="00E91ED8" w:rsidR="00E91ED8">
        <w:t xml:space="preserve">user fees </w:t>
      </w:r>
      <w:r w:rsidR="002E6A65">
        <w:t>in the course of any given</w:t>
      </w:r>
      <w:r w:rsidRPr="00E91ED8" w:rsidR="00E91ED8">
        <w:t xml:space="preserve"> subscription period or seek additional external funding.</w:t>
      </w:r>
      <w:r w:rsidR="00430AF5">
        <w:t xml:space="preserve"> With a number of regulators still in the consultation phase of the UPI adoption process, this flexibility to respond to market demand – particularly with respect to user onboarding - in </w:t>
      </w:r>
      <w:r w:rsidR="00C93823">
        <w:t xml:space="preserve">a consistent and </w:t>
      </w:r>
      <w:r w:rsidR="00FD15FD">
        <w:t>reliable</w:t>
      </w:r>
      <w:r w:rsidR="00C93823">
        <w:t xml:space="preserve"> manner will be key to the DSB’s ability to deliver </w:t>
      </w:r>
      <w:r w:rsidR="000B676C">
        <w:t xml:space="preserve">a successful UPI service. </w:t>
      </w:r>
      <w:r w:rsidR="00F84F95">
        <w:t xml:space="preserve">Furthermore, the </w:t>
      </w:r>
      <w:r w:rsidR="0072388D">
        <w:t>contingency</w:t>
      </w:r>
      <w:r w:rsidR="00F84F95">
        <w:t xml:space="preserve"> </w:t>
      </w:r>
      <w:r w:rsidR="0072388D">
        <w:t xml:space="preserve">fund </w:t>
      </w:r>
      <w:r w:rsidR="00F84F95">
        <w:t xml:space="preserve">can only be used </w:t>
      </w:r>
      <w:r w:rsidR="0072388D">
        <w:t xml:space="preserve">with </w:t>
      </w:r>
      <w:r w:rsidR="009B5C56">
        <w:t xml:space="preserve">approval </w:t>
      </w:r>
      <w:r w:rsidR="0072388D">
        <w:t>from the DSB Board.</w:t>
      </w:r>
    </w:p>
    <w:p w:rsidR="00C05B80" w:rsidP="00D07B16" w:rsidRDefault="00BD0044" w14:paraId="1A4D02CC" w14:textId="631CD307">
      <w:pPr>
        <w:spacing w:before="240"/>
        <w:jc w:val="both"/>
      </w:pPr>
      <w:r>
        <w:t xml:space="preserve">The following tables </w:t>
      </w:r>
      <w:r w:rsidR="00193977">
        <w:t xml:space="preserve">show the breakdown of the </w:t>
      </w:r>
      <w:r w:rsidR="00C9745C">
        <w:t>1. Estimate</w:t>
      </w:r>
      <w:r w:rsidR="007860E4">
        <w:t>d</w:t>
      </w:r>
      <w:r w:rsidR="00C9745C">
        <w:t xml:space="preserve"> </w:t>
      </w:r>
      <w:r w:rsidRPr="000208C9" w:rsidR="000208C9">
        <w:t>Capital Expenditure (Capex) – Build Costs</w:t>
      </w:r>
      <w:r w:rsidR="00D65A05">
        <w:t xml:space="preserve"> </w:t>
      </w:r>
      <w:r w:rsidR="00B31761">
        <w:t xml:space="preserve">for the period </w:t>
      </w:r>
      <w:r w:rsidR="00D65A05">
        <w:t>2020-H1 2022</w:t>
      </w:r>
      <w:r w:rsidR="000208C9">
        <w:t xml:space="preserve">, </w:t>
      </w:r>
      <w:r w:rsidR="00C9745C">
        <w:t>2. Estimate</w:t>
      </w:r>
      <w:r w:rsidR="007860E4">
        <w:t>d</w:t>
      </w:r>
      <w:r w:rsidR="00C9745C">
        <w:t xml:space="preserve"> </w:t>
      </w:r>
      <w:r w:rsidR="00B624FD">
        <w:t xml:space="preserve">Time-Limited Costs and </w:t>
      </w:r>
      <w:r w:rsidR="00C9745C">
        <w:t>3. Estimate</w:t>
      </w:r>
      <w:r w:rsidR="007860E4">
        <w:t>d</w:t>
      </w:r>
      <w:r w:rsidR="00C9745C">
        <w:t xml:space="preserve"> </w:t>
      </w:r>
      <w:r w:rsidRPr="00B624FD" w:rsidR="00B624FD">
        <w:t>Operating Expenditure (</w:t>
      </w:r>
      <w:proofErr w:type="spellStart"/>
      <w:r w:rsidRPr="00B624FD" w:rsidR="00B624FD">
        <w:t>Opex</w:t>
      </w:r>
      <w:proofErr w:type="spellEnd"/>
      <w:r w:rsidRPr="00B624FD" w:rsidR="00B624FD">
        <w:t>)</w:t>
      </w:r>
      <w:r w:rsidR="00B624FD">
        <w:t xml:space="preserve"> based on an estimate of 3,000 fee-paying users</w:t>
      </w:r>
      <w:r w:rsidR="00B31761">
        <w:t xml:space="preserve">. </w:t>
      </w:r>
    </w:p>
    <w:p w:rsidR="00BD0044" w:rsidP="00D07B16" w:rsidRDefault="006276EB" w14:paraId="1411A688" w14:textId="2064BB61">
      <w:pPr>
        <w:spacing w:before="240"/>
        <w:jc w:val="both"/>
      </w:pPr>
      <w:r>
        <w:t xml:space="preserve">The </w:t>
      </w:r>
      <w:r w:rsidR="00C67056">
        <w:t xml:space="preserve">Time-Limited Costs and </w:t>
      </w:r>
      <w:proofErr w:type="spellStart"/>
      <w:r w:rsidR="00C67056">
        <w:t>Opex</w:t>
      </w:r>
      <w:proofErr w:type="spellEnd"/>
      <w:r w:rsidR="00C67056">
        <w:t xml:space="preserve"> </w:t>
      </w:r>
      <w:r w:rsidR="00C05B80">
        <w:t xml:space="preserve">are </w:t>
      </w:r>
      <w:r w:rsidR="00C67056">
        <w:t xml:space="preserve">combined to </w:t>
      </w:r>
      <w:r w:rsidR="00687AF4">
        <w:t>establish the</w:t>
      </w:r>
      <w:r w:rsidR="00C05B80">
        <w:t xml:space="preserve"> annual </w:t>
      </w:r>
      <w:r w:rsidRPr="003C1B13" w:rsidR="002233D9">
        <w:rPr>
          <w:rFonts w:cstheme="minorHAnsi"/>
        </w:rPr>
        <w:t>UPI Total Estimate Cost</w:t>
      </w:r>
      <w:r w:rsidR="002233D9">
        <w:rPr>
          <w:rFonts w:cstheme="minorHAnsi"/>
        </w:rPr>
        <w:t>.</w:t>
      </w:r>
      <w:r w:rsidRPr="003C1B13" w:rsidR="002233D9">
        <w:rPr>
          <w:rFonts w:cstheme="minorHAnsi"/>
        </w:rPr>
        <w:t xml:space="preserve"> </w:t>
      </w:r>
      <w:r>
        <w:t xml:space="preserve">The </w:t>
      </w:r>
      <w:r w:rsidR="00C9745C">
        <w:t>figures provided</w:t>
      </w:r>
      <w:r>
        <w:t xml:space="preserve"> include </w:t>
      </w:r>
      <w:r w:rsidR="006E2DAF">
        <w:t xml:space="preserve">the </w:t>
      </w:r>
      <w:r>
        <w:t>Financial Sustainability Margin</w:t>
      </w:r>
      <w:r w:rsidR="006E2DAF">
        <w:t xml:space="preserve"> </w:t>
      </w:r>
      <w:r>
        <w:t>of 20%.</w:t>
      </w:r>
    </w:p>
    <w:p w:rsidR="00C9745C" w:rsidP="00E246CB" w:rsidRDefault="00C9745C" w14:paraId="61A4876F" w14:textId="1C31C2F0">
      <w:pPr>
        <w:spacing w:before="240" w:after="120"/>
        <w:jc w:val="both"/>
      </w:pPr>
      <w:r w:rsidRPr="0080185A">
        <w:rPr>
          <w:b/>
          <w:bCs/>
        </w:rPr>
        <w:t>Table 1:</w:t>
      </w:r>
      <w:r w:rsidRPr="00C9745C">
        <w:t xml:space="preserve"> </w:t>
      </w:r>
      <w:r>
        <w:t>Estimate</w:t>
      </w:r>
      <w:r w:rsidR="007860E4">
        <w:t>d</w:t>
      </w:r>
      <w:r>
        <w:t xml:space="preserve"> </w:t>
      </w:r>
      <w:r w:rsidRPr="000208C9">
        <w:t>Capital Expenditure (Capex) – Build Costs</w:t>
      </w:r>
      <w:r w:rsidRPr="00E6054E" w:rsidR="00E6054E">
        <w:t xml:space="preserve"> </w:t>
      </w:r>
      <w:r w:rsidR="00E6054E">
        <w:t>for the period 2020 - H1 2022</w:t>
      </w:r>
    </w:p>
    <w:tbl>
      <w:tblPr>
        <w:tblStyle w:val="GridTable4-Accent31"/>
        <w:tblW w:w="0" w:type="auto"/>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insideV w:val="single" w:color="D9D9D9" w:themeColor="background1" w:themeShade="D9" w:sz="4" w:space="0"/>
        </w:tblBorders>
        <w:tblLook w:val="04A0" w:firstRow="1" w:lastRow="0" w:firstColumn="1" w:lastColumn="0" w:noHBand="0" w:noVBand="1"/>
      </w:tblPr>
      <w:tblGrid>
        <w:gridCol w:w="2405"/>
        <w:gridCol w:w="5103"/>
        <w:gridCol w:w="1508"/>
      </w:tblGrid>
      <w:tr w:rsidRPr="00672930" w:rsidR="00D07B16" w:rsidTr="00757706" w14:paraId="10772F1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30AEB9"/>
          </w:tcPr>
          <w:p w:rsidRPr="009500A7" w:rsidR="00D07B16" w:rsidP="003F00A2" w:rsidRDefault="00D07B16" w14:paraId="0E97C5B3" w14:textId="77777777">
            <w:pPr>
              <w:spacing w:before="120" w:after="120" w:line="276" w:lineRule="auto"/>
            </w:pPr>
            <w:r w:rsidRPr="009500A7">
              <w:t>Capital Expenditure (Capex) – Build Costs</w:t>
            </w:r>
          </w:p>
        </w:tc>
        <w:tc>
          <w:tcPr>
            <w:tcW w:w="5103" w:type="dxa"/>
            <w:shd w:val="clear" w:color="auto" w:fill="30AEB9"/>
          </w:tcPr>
          <w:p w:rsidRPr="009500A7" w:rsidR="00D07B16" w:rsidP="003F00A2" w:rsidRDefault="00D07B16" w14:paraId="6F882344" w14:textId="77777777">
            <w:pPr>
              <w:spacing w:before="120" w:after="120" w:line="276" w:lineRule="auto"/>
              <w:jc w:val="both"/>
              <w:cnfStyle w:val="100000000000" w:firstRow="1" w:lastRow="0" w:firstColumn="0" w:lastColumn="0" w:oddVBand="0" w:evenVBand="0" w:oddHBand="0" w:evenHBand="0" w:firstRowFirstColumn="0" w:firstRowLastColumn="0" w:lastRowFirstColumn="0" w:lastRowLastColumn="0"/>
            </w:pPr>
            <w:r w:rsidRPr="009500A7">
              <w:t xml:space="preserve">Description </w:t>
            </w:r>
          </w:p>
        </w:tc>
        <w:tc>
          <w:tcPr>
            <w:tcW w:w="1508" w:type="dxa"/>
            <w:shd w:val="clear" w:color="auto" w:fill="30AEB9"/>
            <w:vAlign w:val="center"/>
          </w:tcPr>
          <w:p w:rsidRPr="009500A7" w:rsidR="00D07B16" w:rsidP="009500A7" w:rsidRDefault="00D07B16" w14:paraId="54BDCD3B" w14:textId="77777777">
            <w:pPr>
              <w:spacing w:before="120" w:after="120" w:line="276" w:lineRule="auto"/>
              <w:jc w:val="right"/>
              <w:cnfStyle w:val="100000000000" w:firstRow="1" w:lastRow="0" w:firstColumn="0" w:lastColumn="0" w:oddVBand="0" w:evenVBand="0" w:oddHBand="0" w:evenHBand="0" w:firstRowFirstColumn="0" w:firstRowLastColumn="0" w:lastRowFirstColumn="0" w:lastRowLastColumn="0"/>
            </w:pPr>
            <w:r w:rsidRPr="009500A7">
              <w:t>Amount</w:t>
            </w:r>
          </w:p>
        </w:tc>
      </w:tr>
      <w:tr w:rsidRPr="00672930" w:rsidR="00D07B16" w:rsidTr="00757706" w14:paraId="2795D3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rsidRPr="00672930" w:rsidR="00D07B16" w:rsidP="00247D8D" w:rsidRDefault="00D07B16" w14:paraId="475588D3" w14:textId="77777777">
            <w:pPr>
              <w:spacing w:before="240" w:after="160" w:line="276" w:lineRule="auto"/>
            </w:pPr>
            <w:r w:rsidRPr="00672930">
              <w:t>Technology and Operations</w:t>
            </w:r>
          </w:p>
        </w:tc>
        <w:tc>
          <w:tcPr>
            <w:tcW w:w="5103" w:type="dxa"/>
            <w:shd w:val="clear" w:color="auto" w:fill="auto"/>
          </w:tcPr>
          <w:p w:rsidRPr="00672930" w:rsidR="00D07B16" w:rsidP="00247D8D" w:rsidRDefault="00D07B16" w14:paraId="376EE4D7" w14:textId="77777777">
            <w:pPr>
              <w:spacing w:before="240" w:after="160" w:line="276" w:lineRule="auto"/>
              <w:jc w:val="both"/>
              <w:cnfStyle w:val="000000100000" w:firstRow="0" w:lastRow="0" w:firstColumn="0" w:lastColumn="0" w:oddVBand="0" w:evenVBand="0" w:oddHBand="1" w:evenHBand="0" w:firstRowFirstColumn="0" w:firstRowLastColumn="0" w:lastRowFirstColumn="0" w:lastRowLastColumn="0"/>
            </w:pPr>
            <w:r w:rsidRPr="00672930">
              <w:t>Operation of the UPI Service through the DSB platform including technical and asset-class support</w:t>
            </w:r>
          </w:p>
        </w:tc>
        <w:tc>
          <w:tcPr>
            <w:tcW w:w="1508" w:type="dxa"/>
            <w:shd w:val="clear" w:color="auto" w:fill="auto"/>
            <w:vAlign w:val="center"/>
          </w:tcPr>
          <w:p w:rsidRPr="00672930" w:rsidR="00D07B16" w:rsidP="009500A7" w:rsidRDefault="00D07B16" w14:paraId="344DCBF2" w14:textId="77777777">
            <w:pPr>
              <w:spacing w:before="240" w:after="160" w:line="276" w:lineRule="auto"/>
              <w:jc w:val="right"/>
              <w:cnfStyle w:val="000000100000" w:firstRow="0" w:lastRow="0" w:firstColumn="0" w:lastColumn="0" w:oddVBand="0" w:evenVBand="0" w:oddHBand="1" w:evenHBand="0" w:firstRowFirstColumn="0" w:firstRowLastColumn="0" w:lastRowFirstColumn="0" w:lastRowLastColumn="0"/>
            </w:pPr>
            <w:r>
              <w:t>€5,370k</w:t>
            </w:r>
          </w:p>
        </w:tc>
      </w:tr>
      <w:tr w:rsidRPr="00672930" w:rsidR="00D07B16" w:rsidTr="00757706" w14:paraId="1836DD83"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CEEFF2"/>
          </w:tcPr>
          <w:p w:rsidRPr="00672930" w:rsidR="00D07B16" w:rsidP="00247D8D" w:rsidRDefault="00D07B16" w14:paraId="39DE39D2" w14:textId="77777777">
            <w:pPr>
              <w:spacing w:before="240" w:after="160" w:line="276" w:lineRule="auto"/>
              <w:jc w:val="both"/>
            </w:pPr>
            <w:r w:rsidRPr="00672930">
              <w:t>Management</w:t>
            </w:r>
          </w:p>
        </w:tc>
        <w:tc>
          <w:tcPr>
            <w:tcW w:w="5103" w:type="dxa"/>
            <w:shd w:val="clear" w:color="auto" w:fill="CEEFF2"/>
          </w:tcPr>
          <w:p w:rsidRPr="00672930" w:rsidR="00D07B16" w:rsidP="00247D8D" w:rsidRDefault="00D07B16" w14:paraId="1D5D12F8" w14:textId="0561E2BB">
            <w:pPr>
              <w:spacing w:before="240" w:after="160" w:line="276" w:lineRule="auto"/>
              <w:jc w:val="both"/>
              <w:cnfStyle w:val="000000000000" w:firstRow="0" w:lastRow="0" w:firstColumn="0" w:lastColumn="0" w:oddVBand="0" w:evenVBand="0" w:oddHBand="0" w:evenHBand="0" w:firstRowFirstColumn="0" w:firstRowLastColumn="0" w:lastRowFirstColumn="0" w:lastRowLastColumn="0"/>
            </w:pPr>
            <w:r w:rsidRPr="00672930">
              <w:t>Senior management team</w:t>
            </w:r>
            <w:r>
              <w:t xml:space="preserve"> </w:t>
            </w:r>
            <w:r w:rsidRPr="00672930">
              <w:t xml:space="preserve">including MD, </w:t>
            </w:r>
            <w:r>
              <w:t>Managed Service Provider*</w:t>
            </w:r>
            <w:r w:rsidRPr="00672930">
              <w:t xml:space="preserve"> management team and CFO</w:t>
            </w:r>
          </w:p>
        </w:tc>
        <w:tc>
          <w:tcPr>
            <w:tcW w:w="1508" w:type="dxa"/>
            <w:shd w:val="clear" w:color="auto" w:fill="CEEFF2"/>
            <w:vAlign w:val="center"/>
          </w:tcPr>
          <w:p w:rsidRPr="00672930" w:rsidR="00D07B16" w:rsidP="009500A7" w:rsidRDefault="00D07B16" w14:paraId="16AD7A3B" w14:textId="77777777">
            <w:pPr>
              <w:spacing w:before="240" w:after="160" w:line="276" w:lineRule="auto"/>
              <w:jc w:val="right"/>
              <w:cnfStyle w:val="000000000000" w:firstRow="0" w:lastRow="0" w:firstColumn="0" w:lastColumn="0" w:oddVBand="0" w:evenVBand="0" w:oddHBand="0" w:evenHBand="0" w:firstRowFirstColumn="0" w:firstRowLastColumn="0" w:lastRowFirstColumn="0" w:lastRowLastColumn="0"/>
            </w:pPr>
            <w:r>
              <w:t>€1,105k</w:t>
            </w:r>
          </w:p>
        </w:tc>
      </w:tr>
      <w:tr w:rsidRPr="00672930" w:rsidR="00D07B16" w:rsidTr="00757706" w14:paraId="16A722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rsidRPr="00672930" w:rsidR="00D07B16" w:rsidP="00247D8D" w:rsidRDefault="00D07B16" w14:paraId="0BDCA749" w14:textId="77777777">
            <w:pPr>
              <w:spacing w:before="240" w:after="160" w:line="276" w:lineRule="auto"/>
              <w:jc w:val="both"/>
            </w:pPr>
            <w:r w:rsidRPr="00672930">
              <w:t>Administration</w:t>
            </w:r>
          </w:p>
        </w:tc>
        <w:tc>
          <w:tcPr>
            <w:tcW w:w="5103" w:type="dxa"/>
            <w:shd w:val="clear" w:color="auto" w:fill="auto"/>
          </w:tcPr>
          <w:p w:rsidRPr="00672930" w:rsidR="00D07B16" w:rsidP="00247D8D" w:rsidRDefault="00D07B16" w14:paraId="2B0A53F1" w14:textId="77777777">
            <w:pPr>
              <w:spacing w:before="240" w:after="160" w:line="276" w:lineRule="auto"/>
              <w:jc w:val="both"/>
              <w:cnfStyle w:val="000000100000" w:firstRow="0" w:lastRow="0" w:firstColumn="0" w:lastColumn="0" w:oddVBand="0" w:evenVBand="0" w:oddHBand="1" w:evenHBand="0" w:firstRowFirstColumn="0" w:firstRowLastColumn="0" w:lastRowFirstColumn="0" w:lastRowLastColumn="0"/>
            </w:pPr>
            <w:r w:rsidRPr="00672930">
              <w:t>Administrative costs and overheads such as office space, and administrative support functions</w:t>
            </w:r>
          </w:p>
        </w:tc>
        <w:tc>
          <w:tcPr>
            <w:tcW w:w="1508" w:type="dxa"/>
            <w:shd w:val="clear" w:color="auto" w:fill="auto"/>
            <w:vAlign w:val="center"/>
          </w:tcPr>
          <w:p w:rsidRPr="00672930" w:rsidR="00D07B16" w:rsidP="009500A7" w:rsidRDefault="00D07B16" w14:paraId="464315C6" w14:textId="77777777">
            <w:pPr>
              <w:spacing w:before="240" w:after="160" w:line="276" w:lineRule="auto"/>
              <w:jc w:val="right"/>
              <w:cnfStyle w:val="000000100000" w:firstRow="0" w:lastRow="0" w:firstColumn="0" w:lastColumn="0" w:oddVBand="0" w:evenVBand="0" w:oddHBand="1" w:evenHBand="0" w:firstRowFirstColumn="0" w:firstRowLastColumn="0" w:lastRowFirstColumn="0" w:lastRowLastColumn="0"/>
            </w:pPr>
            <w:r>
              <w:t>€403k</w:t>
            </w:r>
          </w:p>
        </w:tc>
      </w:tr>
      <w:tr w:rsidRPr="00672930" w:rsidR="00D07B16" w:rsidTr="00757706" w14:paraId="39D87958"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CEEFF2"/>
          </w:tcPr>
          <w:p w:rsidRPr="00672930" w:rsidR="00D07B16" w:rsidP="00247D8D" w:rsidRDefault="00D07B16" w14:paraId="24F1ABF7" w14:textId="77777777">
            <w:pPr>
              <w:spacing w:before="240" w:after="160" w:line="276" w:lineRule="auto"/>
              <w:jc w:val="both"/>
            </w:pPr>
            <w:r w:rsidRPr="00672930">
              <w:t>External Consultants</w:t>
            </w:r>
          </w:p>
        </w:tc>
        <w:tc>
          <w:tcPr>
            <w:tcW w:w="5103" w:type="dxa"/>
            <w:shd w:val="clear" w:color="auto" w:fill="CEEFF2"/>
          </w:tcPr>
          <w:p w:rsidRPr="00672930" w:rsidR="00D07B16" w:rsidP="00247D8D" w:rsidRDefault="00D07B16" w14:paraId="665EEC3C" w14:textId="77777777">
            <w:pPr>
              <w:spacing w:before="240" w:after="160" w:line="276" w:lineRule="auto"/>
              <w:jc w:val="both"/>
              <w:cnfStyle w:val="000000000000" w:firstRow="0" w:lastRow="0" w:firstColumn="0" w:lastColumn="0" w:oddVBand="0" w:evenVBand="0" w:oddHBand="0" w:evenHBand="0" w:firstRowFirstColumn="0" w:firstRowLastColumn="0" w:lastRowFirstColumn="0" w:lastRowLastColumn="0"/>
            </w:pPr>
            <w:r w:rsidRPr="00672930">
              <w:t xml:space="preserve">External oversight and legal, professional and communication </w:t>
            </w:r>
          </w:p>
        </w:tc>
        <w:tc>
          <w:tcPr>
            <w:tcW w:w="1508" w:type="dxa"/>
            <w:shd w:val="clear" w:color="auto" w:fill="CEEFF2"/>
            <w:vAlign w:val="center"/>
          </w:tcPr>
          <w:p w:rsidRPr="00672930" w:rsidR="00D07B16" w:rsidP="009500A7" w:rsidRDefault="00D07B16" w14:paraId="62999AE7" w14:textId="77777777">
            <w:pPr>
              <w:spacing w:before="240" w:after="160" w:line="276" w:lineRule="auto"/>
              <w:jc w:val="right"/>
              <w:cnfStyle w:val="000000000000" w:firstRow="0" w:lastRow="0" w:firstColumn="0" w:lastColumn="0" w:oddVBand="0" w:evenVBand="0" w:oddHBand="0" w:evenHBand="0" w:firstRowFirstColumn="0" w:firstRowLastColumn="0" w:lastRowFirstColumn="0" w:lastRowLastColumn="0"/>
            </w:pPr>
            <w:r>
              <w:t>€377k</w:t>
            </w:r>
          </w:p>
        </w:tc>
      </w:tr>
      <w:tr w:rsidRPr="00672930" w:rsidR="00D07B16" w:rsidTr="00757706" w14:paraId="187EB0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rsidRPr="00672930" w:rsidR="00D07B16" w:rsidP="00247D8D" w:rsidRDefault="00D07B16" w14:paraId="40B3EE40" w14:textId="2EA4FE43">
            <w:pPr>
              <w:spacing w:before="240" w:after="160" w:line="276" w:lineRule="auto"/>
              <w:jc w:val="both"/>
            </w:pPr>
            <w:r w:rsidRPr="00672930">
              <w:t>Third-party data</w:t>
            </w:r>
            <w:r w:rsidR="008C3396">
              <w:t>*</w:t>
            </w:r>
            <w:r w:rsidR="00EE1016">
              <w:t>*</w:t>
            </w:r>
            <w:r w:rsidRPr="00672930">
              <w:t xml:space="preserve"> </w:t>
            </w:r>
          </w:p>
        </w:tc>
        <w:tc>
          <w:tcPr>
            <w:tcW w:w="0" w:type="dxa"/>
            <w:shd w:val="clear" w:color="auto" w:fill="auto"/>
          </w:tcPr>
          <w:p w:rsidRPr="00672930" w:rsidR="00D07B16" w:rsidP="00247D8D" w:rsidRDefault="00D07B16" w14:paraId="51C7D974" w14:textId="77777777">
            <w:pPr>
              <w:spacing w:before="240" w:after="160" w:line="276" w:lineRule="auto"/>
              <w:jc w:val="both"/>
              <w:cnfStyle w:val="000000100000" w:firstRow="0" w:lastRow="0" w:firstColumn="0" w:lastColumn="0" w:oddVBand="0" w:evenVBand="0" w:oddHBand="1" w:evenHBand="0" w:firstRowFirstColumn="0" w:firstRowLastColumn="0" w:lastRowFirstColumn="0" w:lastRowLastColumn="0"/>
            </w:pPr>
            <w:r w:rsidRPr="00672930">
              <w:t>Provision of third-party reference data</w:t>
            </w:r>
          </w:p>
        </w:tc>
        <w:tc>
          <w:tcPr>
            <w:tcW w:w="0" w:type="dxa"/>
            <w:shd w:val="clear" w:color="auto" w:fill="auto"/>
            <w:vAlign w:val="center"/>
          </w:tcPr>
          <w:p w:rsidRPr="00672930" w:rsidR="00D07B16" w:rsidP="009500A7" w:rsidRDefault="00D07B16" w14:paraId="7AEE0690" w14:textId="39A684E9">
            <w:pPr>
              <w:spacing w:before="240" w:after="160" w:line="276" w:lineRule="auto"/>
              <w:jc w:val="right"/>
              <w:cnfStyle w:val="000000100000" w:firstRow="0" w:lastRow="0" w:firstColumn="0" w:lastColumn="0" w:oddVBand="0" w:evenVBand="0" w:oddHBand="1" w:evenHBand="0" w:firstRowFirstColumn="0" w:firstRowLastColumn="0" w:lastRowFirstColumn="0" w:lastRowLastColumn="0"/>
            </w:pPr>
            <w:r>
              <w:t>TBC</w:t>
            </w:r>
          </w:p>
        </w:tc>
      </w:tr>
      <w:tr w:rsidRPr="00672930" w:rsidR="00D07B16" w:rsidTr="00757706" w14:paraId="7999FD94"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CEEFF2"/>
          </w:tcPr>
          <w:p w:rsidRPr="00672930" w:rsidR="00D07B16" w:rsidP="00247D8D" w:rsidRDefault="00D07B16" w14:paraId="4F52B238" w14:textId="58ADAE50">
            <w:pPr>
              <w:spacing w:before="240" w:after="160"/>
              <w:jc w:val="both"/>
            </w:pPr>
            <w:r>
              <w:t>Contingency**</w:t>
            </w:r>
            <w:r w:rsidR="0080185A">
              <w:t>*</w:t>
            </w:r>
          </w:p>
        </w:tc>
        <w:tc>
          <w:tcPr>
            <w:tcW w:w="5103" w:type="dxa"/>
            <w:shd w:val="clear" w:color="auto" w:fill="CEEFF2"/>
          </w:tcPr>
          <w:p w:rsidR="00D07B16" w:rsidDel="00A87402" w:rsidP="00247D8D" w:rsidRDefault="00D07B16" w14:paraId="328BFC31" w14:textId="20AEE8E6">
            <w:pPr>
              <w:spacing w:before="240" w:after="160"/>
              <w:jc w:val="both"/>
              <w:cnfStyle w:val="000000000000" w:firstRow="0" w:lastRow="0" w:firstColumn="0" w:lastColumn="0" w:oddVBand="0" w:evenVBand="0" w:oddHBand="0" w:evenHBand="0" w:firstRowFirstColumn="0" w:firstRowLastColumn="0" w:lastRowFirstColumn="0" w:lastRowLastColumn="0"/>
            </w:pPr>
            <w:r>
              <w:t>20% contingency to cover unplanned costs during the implementation of the service</w:t>
            </w:r>
          </w:p>
        </w:tc>
        <w:tc>
          <w:tcPr>
            <w:tcW w:w="1508" w:type="dxa"/>
            <w:shd w:val="clear" w:color="auto" w:fill="CEEFF2"/>
            <w:vAlign w:val="center"/>
          </w:tcPr>
          <w:p w:rsidRPr="008C726A" w:rsidR="00D07B16" w:rsidP="009500A7" w:rsidRDefault="00D07B16" w14:paraId="3F56A237" w14:textId="77777777">
            <w:pPr>
              <w:spacing w:before="240" w:after="160"/>
              <w:jc w:val="right"/>
              <w:cnfStyle w:val="000000000000" w:firstRow="0" w:lastRow="0" w:firstColumn="0" w:lastColumn="0" w:oddVBand="0" w:evenVBand="0" w:oddHBand="0" w:evenHBand="0" w:firstRowFirstColumn="0" w:firstRowLastColumn="0" w:lastRowFirstColumn="0" w:lastRowLastColumn="0"/>
            </w:pPr>
            <w:r>
              <w:t>€1,814k</w:t>
            </w:r>
          </w:p>
        </w:tc>
      </w:tr>
      <w:tr w:rsidRPr="00672930" w:rsidR="00D07B16" w:rsidTr="00757706" w14:paraId="2978B7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30AEB9"/>
          </w:tcPr>
          <w:p w:rsidRPr="009500A7" w:rsidR="00D07B16" w:rsidP="00247D8D" w:rsidRDefault="00D07B16" w14:paraId="23A222A9" w14:textId="71298443">
            <w:pPr>
              <w:spacing w:before="240" w:after="160" w:line="276" w:lineRule="auto"/>
              <w:jc w:val="both"/>
              <w:rPr>
                <w:color w:val="FFFFFF" w:themeColor="background1"/>
              </w:rPr>
            </w:pPr>
            <w:r w:rsidRPr="009500A7">
              <w:rPr>
                <w:color w:val="FFFFFF" w:themeColor="background1"/>
              </w:rPr>
              <w:t>Total</w:t>
            </w:r>
            <w:r w:rsidRPr="009500A7" w:rsidR="006A6971">
              <w:rPr>
                <w:color w:val="FFFFFF" w:themeColor="background1"/>
              </w:rPr>
              <w:t xml:space="preserve"> Estimate</w:t>
            </w:r>
            <w:r w:rsidRPr="009500A7" w:rsidR="0080185A">
              <w:rPr>
                <w:color w:val="FFFFFF" w:themeColor="background1"/>
              </w:rPr>
              <w:t>d</w:t>
            </w:r>
            <w:r w:rsidRPr="009500A7" w:rsidR="006A6971">
              <w:rPr>
                <w:color w:val="FFFFFF" w:themeColor="background1"/>
              </w:rPr>
              <w:t xml:space="preserve"> Capex</w:t>
            </w:r>
          </w:p>
        </w:tc>
        <w:tc>
          <w:tcPr>
            <w:tcW w:w="5103" w:type="dxa"/>
            <w:shd w:val="clear" w:color="auto" w:fill="30AEB9"/>
          </w:tcPr>
          <w:p w:rsidRPr="009500A7" w:rsidR="00D07B16" w:rsidP="00247D8D" w:rsidRDefault="00D07B16" w14:paraId="1E1865AB" w14:textId="77777777">
            <w:pPr>
              <w:spacing w:before="240" w:after="160" w:line="276" w:lineRule="auto"/>
              <w:jc w:val="both"/>
              <w:cnfStyle w:val="000000100000" w:firstRow="0" w:lastRow="0" w:firstColumn="0" w:lastColumn="0" w:oddVBand="0" w:evenVBand="0" w:oddHBand="1" w:evenHBand="0" w:firstRowFirstColumn="0" w:firstRowLastColumn="0" w:lastRowFirstColumn="0" w:lastRowLastColumn="0"/>
              <w:rPr>
                <w:color w:val="FFFFFF" w:themeColor="background1"/>
              </w:rPr>
            </w:pPr>
            <w:r w:rsidRPr="009500A7" w:rsidDel="00A87402">
              <w:rPr>
                <w:color w:val="FFFFFF" w:themeColor="background1"/>
              </w:rPr>
              <w:t xml:space="preserve"> </w:t>
            </w:r>
          </w:p>
        </w:tc>
        <w:tc>
          <w:tcPr>
            <w:tcW w:w="1508" w:type="dxa"/>
            <w:shd w:val="clear" w:color="auto" w:fill="30AEB9"/>
            <w:vAlign w:val="center"/>
          </w:tcPr>
          <w:p w:rsidRPr="009500A7" w:rsidR="00D07B16" w:rsidP="009500A7" w:rsidRDefault="00D07B16" w14:paraId="29011469" w14:textId="77777777">
            <w:pPr>
              <w:spacing w:before="240" w:after="160" w:line="276" w:lineRule="auto"/>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9500A7">
              <w:rPr>
                <w:b/>
                <w:bCs/>
                <w:color w:val="FFFFFF" w:themeColor="background1"/>
              </w:rPr>
              <w:t>€9,069k</w:t>
            </w:r>
          </w:p>
        </w:tc>
      </w:tr>
    </w:tbl>
    <w:p w:rsidR="00F07AD7" w:rsidP="00E246CB" w:rsidRDefault="00F07AD7" w14:paraId="294DCF06" w14:textId="77777777">
      <w:pPr>
        <w:spacing w:before="60" w:after="120"/>
        <w:jc w:val="both"/>
        <w:rPr>
          <w:sz w:val="20"/>
          <w:szCs w:val="20"/>
        </w:rPr>
      </w:pPr>
      <w:r w:rsidRPr="00757706">
        <w:rPr>
          <w:sz w:val="20"/>
          <w:szCs w:val="20"/>
          <w:u w:val="single"/>
        </w:rPr>
        <w:t>Notes</w:t>
      </w:r>
      <w:r>
        <w:rPr>
          <w:sz w:val="20"/>
          <w:szCs w:val="20"/>
        </w:rPr>
        <w:t>:</w:t>
      </w:r>
    </w:p>
    <w:p w:rsidR="00D07B16" w:rsidP="00F07AD7" w:rsidRDefault="00D07B16" w14:paraId="1BCECF54" w14:textId="77777777">
      <w:pPr>
        <w:spacing w:after="120"/>
        <w:jc w:val="both"/>
        <w:rPr>
          <w:sz w:val="20"/>
          <w:szCs w:val="20"/>
        </w:rPr>
      </w:pPr>
      <w:r w:rsidRPr="008C726A">
        <w:rPr>
          <w:sz w:val="20"/>
          <w:szCs w:val="20"/>
        </w:rPr>
        <w:t>*</w:t>
      </w:r>
      <w:r>
        <w:rPr>
          <w:sz w:val="20"/>
          <w:szCs w:val="20"/>
        </w:rPr>
        <w:t xml:space="preserve"> </w:t>
      </w:r>
      <w:r w:rsidRPr="008C726A">
        <w:rPr>
          <w:sz w:val="20"/>
          <w:szCs w:val="20"/>
        </w:rPr>
        <w:t>The Managed Service Provider is the organization engaged by the DSB to build and run the UPI service.</w:t>
      </w:r>
    </w:p>
    <w:p w:rsidR="00EE1016" w:rsidP="00F07AD7" w:rsidRDefault="00EE1016" w14:paraId="5BD3E8EF" w14:textId="79C10F84">
      <w:pPr>
        <w:spacing w:after="120"/>
        <w:jc w:val="both"/>
        <w:rPr>
          <w:sz w:val="20"/>
          <w:szCs w:val="20"/>
        </w:rPr>
      </w:pPr>
      <w:r>
        <w:rPr>
          <w:sz w:val="20"/>
          <w:szCs w:val="20"/>
        </w:rPr>
        <w:t xml:space="preserve">** The DSB is currently undertaking </w:t>
      </w:r>
      <w:r w:rsidR="00584A12">
        <w:rPr>
          <w:sz w:val="20"/>
          <w:szCs w:val="20"/>
        </w:rPr>
        <w:t xml:space="preserve">an RFI process </w:t>
      </w:r>
      <w:r w:rsidR="00DC755F">
        <w:rPr>
          <w:sz w:val="20"/>
          <w:szCs w:val="20"/>
        </w:rPr>
        <w:t xml:space="preserve">in relation to </w:t>
      </w:r>
      <w:r w:rsidR="00E01FA5">
        <w:rPr>
          <w:sz w:val="20"/>
          <w:szCs w:val="20"/>
        </w:rPr>
        <w:t>third</w:t>
      </w:r>
      <w:r w:rsidR="008B2EDA">
        <w:rPr>
          <w:sz w:val="20"/>
          <w:szCs w:val="20"/>
        </w:rPr>
        <w:t>-</w:t>
      </w:r>
      <w:r w:rsidR="00E01FA5">
        <w:rPr>
          <w:sz w:val="20"/>
          <w:szCs w:val="20"/>
        </w:rPr>
        <w:t xml:space="preserve">party reference data </w:t>
      </w:r>
      <w:r w:rsidRPr="008C726A" w:rsidR="008C3396">
        <w:rPr>
          <w:sz w:val="20"/>
          <w:szCs w:val="20"/>
        </w:rPr>
        <w:t>(</w:t>
      </w:r>
      <w:hyperlink w:history="1" r:id="rId17">
        <w:r w:rsidRPr="00CB1460" w:rsidR="001D3F28">
          <w:rPr>
            <w:rStyle w:val="Hyperlink"/>
            <w:sz w:val="20"/>
            <w:szCs w:val="20"/>
          </w:rPr>
          <w:t>https://www.anna-dsb.com/2021/03/29/the-dsb-opens-rfi-on-reference-data-provider/</w:t>
        </w:r>
      </w:hyperlink>
      <w:r w:rsidR="001D3F28">
        <w:rPr>
          <w:sz w:val="20"/>
          <w:szCs w:val="20"/>
        </w:rPr>
        <w:t xml:space="preserve"> </w:t>
      </w:r>
      <w:r w:rsidRPr="008C726A" w:rsidR="008C3396">
        <w:rPr>
          <w:sz w:val="20"/>
          <w:szCs w:val="20"/>
        </w:rPr>
        <w:t xml:space="preserve">). </w:t>
      </w:r>
      <w:r w:rsidR="006A6971">
        <w:rPr>
          <w:sz w:val="20"/>
          <w:szCs w:val="20"/>
        </w:rPr>
        <w:t>On this basis t</w:t>
      </w:r>
      <w:r w:rsidRPr="008C726A" w:rsidR="006A6971">
        <w:rPr>
          <w:sz w:val="20"/>
          <w:szCs w:val="20"/>
        </w:rPr>
        <w:t xml:space="preserve">hird-party data costs are </w:t>
      </w:r>
      <w:r w:rsidR="000E731F">
        <w:rPr>
          <w:sz w:val="20"/>
          <w:szCs w:val="20"/>
        </w:rPr>
        <w:t>currently</w:t>
      </w:r>
      <w:r w:rsidRPr="008C726A" w:rsidR="006A6971">
        <w:rPr>
          <w:sz w:val="20"/>
          <w:szCs w:val="20"/>
        </w:rPr>
        <w:t xml:space="preserve"> unknown and consequently are included with a placeholder while the RFI process is concluded</w:t>
      </w:r>
      <w:r w:rsidR="006A6971">
        <w:rPr>
          <w:sz w:val="20"/>
          <w:szCs w:val="20"/>
        </w:rPr>
        <w:t>.</w:t>
      </w:r>
      <w:r w:rsidRPr="008C726A" w:rsidR="006A6971">
        <w:rPr>
          <w:sz w:val="20"/>
          <w:szCs w:val="20"/>
        </w:rPr>
        <w:t xml:space="preserve"> </w:t>
      </w:r>
      <w:r w:rsidRPr="008C726A" w:rsidR="008C3396">
        <w:rPr>
          <w:sz w:val="20"/>
          <w:szCs w:val="20"/>
        </w:rPr>
        <w:t xml:space="preserve">The DSB UPI Fee Model </w:t>
      </w:r>
      <w:r w:rsidR="006A6971">
        <w:rPr>
          <w:sz w:val="20"/>
          <w:szCs w:val="20"/>
        </w:rPr>
        <w:t xml:space="preserve">Final </w:t>
      </w:r>
      <w:r w:rsidR="008C3396">
        <w:rPr>
          <w:sz w:val="20"/>
          <w:szCs w:val="20"/>
        </w:rPr>
        <w:t>Report</w:t>
      </w:r>
      <w:r w:rsidRPr="008C726A" w:rsidR="008C3396">
        <w:rPr>
          <w:sz w:val="20"/>
          <w:szCs w:val="20"/>
        </w:rPr>
        <w:t xml:space="preserve"> will provide a summary of these costs once known</w:t>
      </w:r>
      <w:r>
        <w:rPr>
          <w:sz w:val="20"/>
          <w:szCs w:val="20"/>
        </w:rPr>
        <w:t>.</w:t>
      </w:r>
    </w:p>
    <w:p w:rsidRPr="008C726A" w:rsidR="00D07B16" w:rsidP="00F07AD7" w:rsidRDefault="00D07B16" w14:paraId="31342178" w14:textId="5654DB90">
      <w:pPr>
        <w:spacing w:after="120"/>
        <w:jc w:val="both"/>
        <w:rPr>
          <w:sz w:val="20"/>
          <w:szCs w:val="20"/>
        </w:rPr>
      </w:pPr>
      <w:r>
        <w:rPr>
          <w:sz w:val="20"/>
          <w:szCs w:val="20"/>
        </w:rPr>
        <w:t>**</w:t>
      </w:r>
      <w:r w:rsidR="00EE1016">
        <w:rPr>
          <w:sz w:val="20"/>
          <w:szCs w:val="20"/>
        </w:rPr>
        <w:t>*</w:t>
      </w:r>
      <w:r>
        <w:rPr>
          <w:sz w:val="20"/>
          <w:szCs w:val="20"/>
        </w:rPr>
        <w:t xml:space="preserve"> Contingency cannot be used without the </w:t>
      </w:r>
      <w:r w:rsidR="003116BA">
        <w:rPr>
          <w:sz w:val="20"/>
          <w:szCs w:val="20"/>
        </w:rPr>
        <w:t xml:space="preserve">approval </w:t>
      </w:r>
      <w:r>
        <w:rPr>
          <w:sz w:val="20"/>
          <w:szCs w:val="20"/>
        </w:rPr>
        <w:t xml:space="preserve">of the </w:t>
      </w:r>
      <w:r w:rsidR="00EE1016">
        <w:rPr>
          <w:sz w:val="20"/>
          <w:szCs w:val="20"/>
        </w:rPr>
        <w:t xml:space="preserve">DSB </w:t>
      </w:r>
      <w:r>
        <w:rPr>
          <w:sz w:val="20"/>
          <w:szCs w:val="20"/>
        </w:rPr>
        <w:t>Board.</w:t>
      </w:r>
    </w:p>
    <w:p w:rsidR="00C9745C" w:rsidRDefault="00C9745C" w14:paraId="7B218497" w14:textId="781BCE97">
      <w:pPr>
        <w:rPr>
          <w:sz w:val="20"/>
          <w:szCs w:val="20"/>
        </w:rPr>
      </w:pPr>
    </w:p>
    <w:p w:rsidR="00D07B16" w:rsidP="00E246CB" w:rsidRDefault="00C9745C" w14:paraId="42402BC7" w14:textId="3C3EFCDD">
      <w:pPr>
        <w:spacing w:after="120"/>
        <w:jc w:val="both"/>
        <w:rPr>
          <w:lang w:val="en-GB"/>
        </w:rPr>
      </w:pPr>
      <w:r w:rsidRPr="00537E55">
        <w:rPr>
          <w:b/>
          <w:bCs/>
          <w:lang w:val="en-GB"/>
        </w:rPr>
        <w:t>Table 2:</w:t>
      </w:r>
      <w:r w:rsidRPr="00537E55">
        <w:rPr>
          <w:lang w:val="en-GB"/>
        </w:rPr>
        <w:t xml:space="preserve"> </w:t>
      </w:r>
      <w:r>
        <w:rPr>
          <w:lang w:val="en-GB"/>
        </w:rPr>
        <w:t>Estimate</w:t>
      </w:r>
      <w:r w:rsidR="007860E4">
        <w:rPr>
          <w:lang w:val="en-GB"/>
        </w:rPr>
        <w:t>d</w:t>
      </w:r>
      <w:r>
        <w:rPr>
          <w:lang w:val="en-GB"/>
        </w:rPr>
        <w:t xml:space="preserve"> </w:t>
      </w:r>
      <w:r w:rsidRPr="00537E55">
        <w:rPr>
          <w:lang w:val="en-GB"/>
        </w:rPr>
        <w:t>Time-Li</w:t>
      </w:r>
      <w:r w:rsidR="00114BEE">
        <w:rPr>
          <w:lang w:val="en-GB"/>
        </w:rPr>
        <w:t>mi</w:t>
      </w:r>
      <w:r w:rsidRPr="00537E55">
        <w:rPr>
          <w:lang w:val="en-GB"/>
        </w:rPr>
        <w:t xml:space="preserve">ted </w:t>
      </w:r>
      <w:r w:rsidRPr="00D73168">
        <w:rPr>
          <w:lang w:val="en-GB"/>
        </w:rPr>
        <w:t>Costs</w:t>
      </w:r>
    </w:p>
    <w:tbl>
      <w:tblPr>
        <w:tblStyle w:val="TableGrid"/>
        <w:tblW w:w="8926"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ook w:val="04A0" w:firstRow="1" w:lastRow="0" w:firstColumn="1" w:lastColumn="0" w:noHBand="0" w:noVBand="1"/>
      </w:tblPr>
      <w:tblGrid>
        <w:gridCol w:w="2405"/>
        <w:gridCol w:w="5103"/>
        <w:gridCol w:w="1418"/>
      </w:tblGrid>
      <w:tr w:rsidR="00FE23E4" w:rsidTr="00FE23E4" w14:paraId="35F2D6C6" w14:textId="77777777">
        <w:tc>
          <w:tcPr>
            <w:tcW w:w="2405" w:type="dxa"/>
            <w:shd w:val="clear" w:color="auto" w:fill="30AEB9"/>
            <w:vAlign w:val="center"/>
          </w:tcPr>
          <w:p w:rsidRPr="00FE23E4" w:rsidR="00FE23E4" w:rsidP="00FE23E4" w:rsidRDefault="00FE23E4" w14:paraId="7E33E33D" w14:textId="66C881E3">
            <w:pPr>
              <w:rPr>
                <w:b/>
                <w:bCs/>
              </w:rPr>
            </w:pPr>
            <w:r w:rsidRPr="00FE23E4">
              <w:rPr>
                <w:b/>
                <w:bCs/>
                <w:color w:val="FFFFFF" w:themeColor="background1"/>
              </w:rPr>
              <w:t>Category (Time Limited)</w:t>
            </w:r>
          </w:p>
        </w:tc>
        <w:tc>
          <w:tcPr>
            <w:tcW w:w="5103" w:type="dxa"/>
            <w:shd w:val="clear" w:color="auto" w:fill="30AEB9"/>
            <w:vAlign w:val="center"/>
          </w:tcPr>
          <w:p w:rsidRPr="00FE23E4" w:rsidR="00FE23E4" w:rsidP="00FE23E4" w:rsidRDefault="00FE23E4" w14:paraId="27A19B67" w14:textId="352BD24F">
            <w:pPr>
              <w:rPr>
                <w:b/>
                <w:bCs/>
              </w:rPr>
            </w:pPr>
            <w:r w:rsidRPr="00FE23E4">
              <w:rPr>
                <w:b/>
                <w:bCs/>
                <w:color w:val="FFFFFF" w:themeColor="background1"/>
              </w:rPr>
              <w:t>Description</w:t>
            </w:r>
          </w:p>
        </w:tc>
        <w:tc>
          <w:tcPr>
            <w:tcW w:w="1418" w:type="dxa"/>
            <w:shd w:val="clear" w:color="auto" w:fill="30AEB9"/>
            <w:vAlign w:val="center"/>
          </w:tcPr>
          <w:p w:rsidRPr="00FE23E4" w:rsidR="00FE23E4" w:rsidP="00FE23E4" w:rsidRDefault="00FE23E4" w14:paraId="7DD3806D" w14:textId="6D2FE94D">
            <w:pPr>
              <w:jc w:val="right"/>
              <w:rPr>
                <w:b/>
                <w:bCs/>
              </w:rPr>
            </w:pPr>
            <w:r w:rsidRPr="00FE23E4">
              <w:rPr>
                <w:b/>
                <w:bCs/>
                <w:color w:val="FFFFFF" w:themeColor="background1"/>
              </w:rPr>
              <w:t>Amount</w:t>
            </w:r>
          </w:p>
        </w:tc>
      </w:tr>
      <w:tr w:rsidR="00FE23E4" w:rsidTr="00FE23E4" w14:paraId="082D6D2C" w14:textId="77777777">
        <w:trPr>
          <w:trHeight w:val="1334"/>
        </w:trPr>
        <w:tc>
          <w:tcPr>
            <w:tcW w:w="2405" w:type="dxa"/>
            <w:vAlign w:val="center"/>
          </w:tcPr>
          <w:p w:rsidR="00FE23E4" w:rsidP="00FE23E4" w:rsidRDefault="00FE23E4" w14:paraId="7BAE83C2" w14:textId="26DDCAE4">
            <w:r>
              <w:t>Capex – Build Costs</w:t>
            </w:r>
          </w:p>
        </w:tc>
        <w:tc>
          <w:tcPr>
            <w:tcW w:w="5103" w:type="dxa"/>
            <w:vAlign w:val="center"/>
          </w:tcPr>
          <w:p w:rsidR="00FE23E4" w:rsidP="00FE23E4" w:rsidRDefault="00FE23E4" w14:paraId="7101AD33" w14:textId="25BD53A3">
            <w:r w:rsidRPr="00564C22">
              <w:t xml:space="preserve">Amortization of </w:t>
            </w:r>
            <w:r>
              <w:t xml:space="preserve">Capex </w:t>
            </w:r>
            <w:r w:rsidRPr="00564C22">
              <w:t xml:space="preserve">over the first 4 </w:t>
            </w:r>
            <w:r>
              <w:t xml:space="preserve">complete </w:t>
            </w:r>
            <w:r w:rsidRPr="00564C22">
              <w:t>years</w:t>
            </w:r>
            <w:r>
              <w:t xml:space="preserve"> (2023 - 2026)</w:t>
            </w:r>
            <w:r w:rsidRPr="00564C22">
              <w:t xml:space="preserve"> </w:t>
            </w:r>
            <w:r>
              <w:t>including 20% contingency</w:t>
            </w:r>
            <w:r w:rsidRPr="00564C22">
              <w:t xml:space="preserve"> </w:t>
            </w:r>
            <w:r>
              <w:t>(to cover unplanned costs during the implementation of the service)</w:t>
            </w:r>
          </w:p>
        </w:tc>
        <w:tc>
          <w:tcPr>
            <w:tcW w:w="1418" w:type="dxa"/>
            <w:vAlign w:val="center"/>
          </w:tcPr>
          <w:p w:rsidR="00FE23E4" w:rsidP="00FE23E4" w:rsidRDefault="00FE23E4" w14:paraId="685E63F4" w14:textId="6B3E60A4">
            <w:pPr>
              <w:jc w:val="right"/>
            </w:pPr>
            <w:r>
              <w:t>€2,267k (annualized)</w:t>
            </w:r>
          </w:p>
        </w:tc>
      </w:tr>
      <w:tr w:rsidR="00FE23E4" w:rsidTr="00FE23E4" w14:paraId="0E7C9EAF" w14:textId="77777777">
        <w:trPr>
          <w:trHeight w:val="828"/>
        </w:trPr>
        <w:tc>
          <w:tcPr>
            <w:tcW w:w="2405" w:type="dxa"/>
            <w:shd w:val="clear" w:color="auto" w:fill="CEEFF2"/>
            <w:vAlign w:val="center"/>
          </w:tcPr>
          <w:p w:rsidR="00FE23E4" w:rsidP="00FE23E4" w:rsidRDefault="00FE23E4" w14:paraId="51C1E92E" w14:textId="722C4B6D">
            <w:r w:rsidRPr="00564C22">
              <w:t>Financing costs</w:t>
            </w:r>
            <w:r w:rsidRPr="00D73168">
              <w:rPr>
                <w:sz w:val="24"/>
                <w:szCs w:val="24"/>
                <w:vertAlign w:val="superscript"/>
              </w:rPr>
              <w:t>+</w:t>
            </w:r>
          </w:p>
        </w:tc>
        <w:tc>
          <w:tcPr>
            <w:tcW w:w="5103" w:type="dxa"/>
            <w:shd w:val="clear" w:color="auto" w:fill="CEEFF2"/>
            <w:vAlign w:val="center"/>
          </w:tcPr>
          <w:p w:rsidR="00FE23E4" w:rsidP="00FE23E4" w:rsidRDefault="00FE23E4" w14:paraId="171B6C65" w14:textId="28568D29">
            <w:r>
              <w:t>C</w:t>
            </w:r>
            <w:r w:rsidRPr="00564C22">
              <w:t>osts</w:t>
            </w:r>
            <w:r>
              <w:t xml:space="preserve"> of financing the Capex (Build Costs), to be repaid over 3 years (2022 – 2024) </w:t>
            </w:r>
          </w:p>
        </w:tc>
        <w:tc>
          <w:tcPr>
            <w:tcW w:w="1418" w:type="dxa"/>
            <w:shd w:val="clear" w:color="auto" w:fill="CEEFF2"/>
            <w:vAlign w:val="center"/>
          </w:tcPr>
          <w:p w:rsidR="00FE23E4" w:rsidP="00FE23E4" w:rsidRDefault="00FE23E4" w14:paraId="121A1AA3" w14:textId="1B721B6A">
            <w:pPr>
              <w:jc w:val="right"/>
            </w:pPr>
            <w:r>
              <w:t>€2,128k</w:t>
            </w:r>
          </w:p>
        </w:tc>
      </w:tr>
    </w:tbl>
    <w:p w:rsidRPr="008A53E0" w:rsidR="003F3184" w:rsidP="00D958E1" w:rsidRDefault="003F3184" w14:paraId="64522460" w14:textId="77777777">
      <w:pPr>
        <w:spacing w:before="60" w:after="120"/>
        <w:jc w:val="both"/>
        <w:rPr>
          <w:b/>
          <w:bCs/>
          <w:sz w:val="24"/>
          <w:szCs w:val="24"/>
          <w:u w:val="single"/>
          <w:vertAlign w:val="superscript"/>
        </w:rPr>
      </w:pPr>
      <w:r w:rsidRPr="008A53E0">
        <w:rPr>
          <w:b/>
          <w:bCs/>
          <w:sz w:val="24"/>
          <w:szCs w:val="24"/>
          <w:u w:val="single"/>
          <w:vertAlign w:val="superscript"/>
        </w:rPr>
        <w:t>Notes:</w:t>
      </w:r>
    </w:p>
    <w:p w:rsidRPr="00D73168" w:rsidR="00D07B16" w:rsidP="00D958E1" w:rsidRDefault="0083200E" w14:paraId="51D669FE" w14:textId="05D6CEF3">
      <w:pPr>
        <w:spacing w:after="60"/>
        <w:jc w:val="both"/>
        <w:rPr>
          <w:sz w:val="20"/>
          <w:szCs w:val="20"/>
        </w:rPr>
      </w:pPr>
      <w:r w:rsidRPr="003F00A2">
        <w:rPr>
          <w:b/>
          <w:bCs/>
          <w:sz w:val="24"/>
          <w:szCs w:val="24"/>
          <w:vertAlign w:val="superscript"/>
        </w:rPr>
        <w:t>+</w:t>
      </w:r>
      <w:r w:rsidR="001034F4">
        <w:rPr>
          <w:sz w:val="20"/>
          <w:szCs w:val="20"/>
        </w:rPr>
        <w:t xml:space="preserve"> </w:t>
      </w:r>
      <w:r w:rsidRPr="00D73168" w:rsidR="00D07B16">
        <w:rPr>
          <w:sz w:val="20"/>
          <w:szCs w:val="20"/>
        </w:rPr>
        <w:t xml:space="preserve">The source of funding for the </w:t>
      </w:r>
      <w:r w:rsidRPr="00D73168" w:rsidR="008E26EE">
        <w:rPr>
          <w:sz w:val="20"/>
          <w:szCs w:val="20"/>
        </w:rPr>
        <w:t xml:space="preserve">UPI Service </w:t>
      </w:r>
      <w:r w:rsidRPr="00D73168" w:rsidR="00D07B16">
        <w:rPr>
          <w:sz w:val="20"/>
          <w:szCs w:val="20"/>
        </w:rPr>
        <w:t>Capex (Build Costs) is equity investment from DSB shareholders. The compensation for the capital at risk is to be via a compound annual percentage rate of 16% to reflect the risks of the investment</w:t>
      </w:r>
      <w:r w:rsidR="007650B6">
        <w:rPr>
          <w:sz w:val="20"/>
          <w:szCs w:val="20"/>
        </w:rPr>
        <w:t xml:space="preserve"> being akin to </w:t>
      </w:r>
      <w:r w:rsidR="004C7B2A">
        <w:rPr>
          <w:sz w:val="20"/>
          <w:szCs w:val="20"/>
        </w:rPr>
        <w:t>venture capital</w:t>
      </w:r>
      <w:r w:rsidR="00E12DF0">
        <w:rPr>
          <w:sz w:val="20"/>
          <w:szCs w:val="20"/>
        </w:rPr>
        <w:t xml:space="preserve">. </w:t>
      </w:r>
      <w:r w:rsidR="00967941">
        <w:rPr>
          <w:sz w:val="20"/>
          <w:szCs w:val="20"/>
        </w:rPr>
        <w:t>Financing</w:t>
      </w:r>
      <w:r w:rsidR="00FE7CC1">
        <w:rPr>
          <w:sz w:val="20"/>
          <w:szCs w:val="20"/>
        </w:rPr>
        <w:t xml:space="preserve"> costs will be </w:t>
      </w:r>
      <w:r w:rsidR="00967941">
        <w:rPr>
          <w:sz w:val="20"/>
          <w:szCs w:val="20"/>
        </w:rPr>
        <w:t xml:space="preserve">returned to </w:t>
      </w:r>
      <w:r w:rsidR="0007274A">
        <w:rPr>
          <w:sz w:val="20"/>
          <w:szCs w:val="20"/>
        </w:rPr>
        <w:t>shareholders in the form of a</w:t>
      </w:r>
      <w:r w:rsidR="00EA12C3">
        <w:rPr>
          <w:sz w:val="20"/>
          <w:szCs w:val="20"/>
        </w:rPr>
        <w:t>n</w:t>
      </w:r>
      <w:r w:rsidR="0007274A">
        <w:rPr>
          <w:sz w:val="20"/>
          <w:szCs w:val="20"/>
        </w:rPr>
        <w:t xml:space="preserve"> </w:t>
      </w:r>
      <w:r w:rsidR="003F2857">
        <w:rPr>
          <w:sz w:val="20"/>
          <w:szCs w:val="20"/>
        </w:rPr>
        <w:t>equity</w:t>
      </w:r>
      <w:r w:rsidR="0007274A">
        <w:rPr>
          <w:sz w:val="20"/>
          <w:szCs w:val="20"/>
        </w:rPr>
        <w:t xml:space="preserve"> distribution</w:t>
      </w:r>
      <w:r w:rsidR="006F5C28">
        <w:rPr>
          <w:sz w:val="20"/>
          <w:szCs w:val="20"/>
        </w:rPr>
        <w:t xml:space="preserve">. </w:t>
      </w:r>
      <w:r w:rsidR="00EA12C3">
        <w:rPr>
          <w:sz w:val="20"/>
          <w:szCs w:val="20"/>
        </w:rPr>
        <w:t>K</w:t>
      </w:r>
      <w:r w:rsidR="00305375">
        <w:rPr>
          <w:sz w:val="20"/>
          <w:szCs w:val="20"/>
        </w:rPr>
        <w:t>ey</w:t>
      </w:r>
      <w:r w:rsidR="006F5C28">
        <w:rPr>
          <w:sz w:val="20"/>
          <w:szCs w:val="20"/>
        </w:rPr>
        <w:t xml:space="preserve"> </w:t>
      </w:r>
      <w:r w:rsidR="00EA12C3">
        <w:rPr>
          <w:sz w:val="20"/>
          <w:szCs w:val="20"/>
        </w:rPr>
        <w:t xml:space="preserve">investment </w:t>
      </w:r>
      <w:r w:rsidR="005B49FF">
        <w:rPr>
          <w:sz w:val="20"/>
          <w:szCs w:val="20"/>
        </w:rPr>
        <w:t>risks</w:t>
      </w:r>
      <w:r w:rsidRPr="00D73168" w:rsidR="00D07B16">
        <w:rPr>
          <w:sz w:val="20"/>
          <w:szCs w:val="20"/>
        </w:rPr>
        <w:t xml:space="preserve"> includ</w:t>
      </w:r>
      <w:r w:rsidR="00305375">
        <w:rPr>
          <w:sz w:val="20"/>
          <w:szCs w:val="20"/>
        </w:rPr>
        <w:t>e</w:t>
      </w:r>
      <w:r w:rsidRPr="00D73168" w:rsidR="00D07B16">
        <w:rPr>
          <w:sz w:val="20"/>
          <w:szCs w:val="20"/>
        </w:rPr>
        <w:t>:</w:t>
      </w:r>
    </w:p>
    <w:p w:rsidRPr="00D73168" w:rsidR="00D07B16" w:rsidP="00D958E1" w:rsidRDefault="00D07B16" w14:paraId="29AD0C0B" w14:textId="3269F7A8">
      <w:pPr>
        <w:pStyle w:val="ListParagraph"/>
        <w:numPr>
          <w:ilvl w:val="0"/>
          <w:numId w:val="43"/>
        </w:numPr>
        <w:autoSpaceDE w:val="0"/>
        <w:autoSpaceDN w:val="0"/>
        <w:adjustRightInd w:val="0"/>
        <w:spacing w:after="60" w:line="276" w:lineRule="auto"/>
        <w:ind w:left="357" w:right="113" w:hanging="357"/>
        <w:contextualSpacing w:val="0"/>
        <w:jc w:val="both"/>
        <w:rPr>
          <w:sz w:val="20"/>
          <w:szCs w:val="20"/>
        </w:rPr>
      </w:pPr>
      <w:r w:rsidRPr="00D73168">
        <w:rPr>
          <w:sz w:val="20"/>
          <w:szCs w:val="20"/>
        </w:rPr>
        <w:t>No</w:t>
      </w:r>
      <w:r w:rsidR="00F82AF2">
        <w:rPr>
          <w:sz w:val="20"/>
          <w:szCs w:val="20"/>
        </w:rPr>
        <w:t xml:space="preserve"> </w:t>
      </w:r>
      <w:r w:rsidRPr="00D73168">
        <w:rPr>
          <w:sz w:val="20"/>
          <w:szCs w:val="20"/>
        </w:rPr>
        <w:t>regulatory mandate</w:t>
      </w:r>
      <w:r w:rsidRPr="00D73168" w:rsidR="008E26EE">
        <w:rPr>
          <w:sz w:val="20"/>
          <w:szCs w:val="20"/>
        </w:rPr>
        <w:t xml:space="preserve"> </w:t>
      </w:r>
      <w:r w:rsidRPr="00D73168">
        <w:rPr>
          <w:sz w:val="20"/>
          <w:szCs w:val="20"/>
        </w:rPr>
        <w:t xml:space="preserve">in place </w:t>
      </w:r>
      <w:r w:rsidR="00F82AF2">
        <w:rPr>
          <w:sz w:val="20"/>
          <w:szCs w:val="20"/>
        </w:rPr>
        <w:t>to</w:t>
      </w:r>
      <w:r w:rsidRPr="00D73168">
        <w:rPr>
          <w:sz w:val="20"/>
          <w:szCs w:val="20"/>
        </w:rPr>
        <w:t xml:space="preserve"> guarantee revenue to recover costs.</w:t>
      </w:r>
    </w:p>
    <w:p w:rsidRPr="00D73168" w:rsidR="00D07B16" w:rsidP="00D958E1" w:rsidRDefault="00D07B16" w14:paraId="6EB3C282" w14:textId="0DAE59D1">
      <w:pPr>
        <w:pStyle w:val="ListParagraph"/>
        <w:numPr>
          <w:ilvl w:val="0"/>
          <w:numId w:val="43"/>
        </w:numPr>
        <w:autoSpaceDE w:val="0"/>
        <w:autoSpaceDN w:val="0"/>
        <w:adjustRightInd w:val="0"/>
        <w:spacing w:after="60" w:line="276" w:lineRule="auto"/>
        <w:ind w:left="357" w:right="113" w:hanging="357"/>
        <w:contextualSpacing w:val="0"/>
        <w:jc w:val="both"/>
        <w:rPr>
          <w:sz w:val="20"/>
          <w:szCs w:val="20"/>
        </w:rPr>
      </w:pPr>
      <w:r w:rsidRPr="00D73168">
        <w:rPr>
          <w:sz w:val="20"/>
          <w:szCs w:val="20"/>
        </w:rPr>
        <w:t xml:space="preserve">No certainty of user numbers to </w:t>
      </w:r>
      <w:r w:rsidRPr="00D73168" w:rsidR="006C5FE6">
        <w:rPr>
          <w:sz w:val="20"/>
          <w:szCs w:val="20"/>
        </w:rPr>
        <w:t>underwrite</w:t>
      </w:r>
      <w:r w:rsidRPr="00D73168">
        <w:rPr>
          <w:sz w:val="20"/>
          <w:szCs w:val="20"/>
        </w:rPr>
        <w:t xml:space="preserve"> the costs of building</w:t>
      </w:r>
      <w:r w:rsidRPr="00D73168">
        <w:rPr>
          <w:rFonts w:cstheme="minorHAnsi"/>
          <w:sz w:val="20"/>
          <w:szCs w:val="20"/>
        </w:rPr>
        <w:t xml:space="preserve"> a scalable service provision.</w:t>
      </w:r>
    </w:p>
    <w:p w:rsidRPr="00357659" w:rsidR="003F3184" w:rsidP="00357659" w:rsidRDefault="00D07B16" w14:paraId="47B063FE" w14:textId="580A78F7">
      <w:pPr>
        <w:pStyle w:val="ListParagraph"/>
        <w:numPr>
          <w:ilvl w:val="0"/>
          <w:numId w:val="43"/>
        </w:numPr>
        <w:autoSpaceDE w:val="0"/>
        <w:autoSpaceDN w:val="0"/>
        <w:adjustRightInd w:val="0"/>
        <w:spacing w:after="120" w:line="276" w:lineRule="auto"/>
        <w:ind w:left="357" w:right="113" w:hanging="357"/>
        <w:contextualSpacing w:val="0"/>
        <w:jc w:val="both"/>
        <w:rPr>
          <w:sz w:val="20"/>
          <w:szCs w:val="20"/>
        </w:rPr>
      </w:pPr>
      <w:r w:rsidRPr="00D73168">
        <w:rPr>
          <w:sz w:val="20"/>
          <w:szCs w:val="20"/>
        </w:rPr>
        <w:t>No guarantee of the DSB being the sole provider of the UPI before costs are fully recovered.</w:t>
      </w:r>
    </w:p>
    <w:p w:rsidRPr="00D73168" w:rsidR="00C9745C" w:rsidP="003F00A2" w:rsidRDefault="00C9745C" w14:paraId="2FFDED7C" w14:textId="77777777">
      <w:pPr>
        <w:pStyle w:val="ListParagraph"/>
        <w:autoSpaceDE w:val="0"/>
        <w:autoSpaceDN w:val="0"/>
        <w:adjustRightInd w:val="0"/>
        <w:spacing w:after="0" w:line="240" w:lineRule="auto"/>
        <w:ind w:left="357" w:right="113"/>
        <w:contextualSpacing w:val="0"/>
        <w:jc w:val="both"/>
        <w:rPr>
          <w:sz w:val="20"/>
          <w:szCs w:val="20"/>
        </w:rPr>
      </w:pPr>
    </w:p>
    <w:p w:rsidR="00D07B16" w:rsidP="00E246CB" w:rsidRDefault="00114BEE" w14:paraId="240B56DB" w14:textId="25F4BBBA">
      <w:pPr>
        <w:spacing w:after="120"/>
        <w:jc w:val="both"/>
      </w:pPr>
      <w:r w:rsidRPr="00D73168">
        <w:rPr>
          <w:b/>
          <w:bCs/>
        </w:rPr>
        <w:t xml:space="preserve">Table </w:t>
      </w:r>
      <w:r w:rsidRPr="00D73168" w:rsidR="00C9745C">
        <w:rPr>
          <w:b/>
          <w:bCs/>
        </w:rPr>
        <w:t>3</w:t>
      </w:r>
      <w:r w:rsidRPr="00D73168">
        <w:rPr>
          <w:b/>
          <w:bCs/>
        </w:rPr>
        <w:t>:</w:t>
      </w:r>
      <w:r w:rsidR="00C9745C">
        <w:t xml:space="preserve"> Estimate</w:t>
      </w:r>
      <w:r w:rsidR="00D73168">
        <w:t>d</w:t>
      </w:r>
      <w:r w:rsidR="00C9745C">
        <w:t xml:space="preserve"> </w:t>
      </w:r>
      <w:r w:rsidRPr="00B624FD" w:rsidR="00C9745C">
        <w:t>Operating Expenditure (</w:t>
      </w:r>
      <w:proofErr w:type="spellStart"/>
      <w:r w:rsidRPr="00B624FD" w:rsidR="00C9745C">
        <w:t>Opex</w:t>
      </w:r>
      <w:proofErr w:type="spellEnd"/>
      <w:r w:rsidRPr="00B624FD" w:rsidR="00C9745C">
        <w:t>)</w:t>
      </w:r>
    </w:p>
    <w:tbl>
      <w:tblPr>
        <w:tblStyle w:val="GridTable4-Accent31"/>
        <w:tblW w:w="0" w:type="auto"/>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ook w:val="04A0" w:firstRow="1" w:lastRow="0" w:firstColumn="1" w:lastColumn="0" w:noHBand="0" w:noVBand="1"/>
      </w:tblPr>
      <w:tblGrid>
        <w:gridCol w:w="2405"/>
        <w:gridCol w:w="5103"/>
        <w:gridCol w:w="1508"/>
      </w:tblGrid>
      <w:tr w:rsidRPr="00672930" w:rsidR="00D07B16" w:rsidTr="001456B9" w14:paraId="7A039A16" w14:textId="77777777">
        <w:trPr>
          <w:cnfStyle w:val="100000000000" w:firstRow="1" w:lastRow="0" w:firstColumn="0" w:lastColumn="0" w:oddVBand="0" w:evenVBand="0" w:oddHBand="0" w:evenHBand="0" w:firstRowFirstColumn="0" w:firstRowLastColumn="0" w:lastRowFirstColumn="0" w:lastRowLastColumn="0"/>
          <w:trHeight w:val="58"/>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30AEB9"/>
          </w:tcPr>
          <w:p w:rsidRPr="00357659" w:rsidR="00D07B16" w:rsidP="003F00A2" w:rsidRDefault="00D07B16" w14:paraId="620FD23F" w14:textId="77777777">
            <w:pPr>
              <w:spacing w:before="120" w:after="120" w:line="276" w:lineRule="auto"/>
            </w:pPr>
            <w:r w:rsidRPr="00357659">
              <w:t>Operating Expenditure (</w:t>
            </w:r>
            <w:proofErr w:type="spellStart"/>
            <w:r w:rsidRPr="00357659">
              <w:t>Opex</w:t>
            </w:r>
            <w:proofErr w:type="spellEnd"/>
            <w:r w:rsidRPr="00357659">
              <w:t>)</w:t>
            </w:r>
          </w:p>
        </w:tc>
        <w:tc>
          <w:tcPr>
            <w:tcW w:w="5103" w:type="dxa"/>
            <w:shd w:val="clear" w:color="auto" w:fill="30AEB9"/>
          </w:tcPr>
          <w:p w:rsidRPr="00357659" w:rsidR="00D07B16" w:rsidP="003F00A2" w:rsidRDefault="00D07B16" w14:paraId="14019331" w14:textId="77777777">
            <w:pPr>
              <w:spacing w:before="120" w:after="120" w:line="276" w:lineRule="auto"/>
              <w:jc w:val="both"/>
              <w:cnfStyle w:val="100000000000" w:firstRow="1" w:lastRow="0" w:firstColumn="0" w:lastColumn="0" w:oddVBand="0" w:evenVBand="0" w:oddHBand="0" w:evenHBand="0" w:firstRowFirstColumn="0" w:firstRowLastColumn="0" w:lastRowFirstColumn="0" w:lastRowLastColumn="0"/>
            </w:pPr>
            <w:r w:rsidRPr="00357659">
              <w:t xml:space="preserve">Description  </w:t>
            </w:r>
          </w:p>
        </w:tc>
        <w:tc>
          <w:tcPr>
            <w:tcW w:w="1508" w:type="dxa"/>
            <w:shd w:val="clear" w:color="auto" w:fill="30AEB9"/>
            <w:vAlign w:val="center"/>
          </w:tcPr>
          <w:p w:rsidRPr="00357659" w:rsidR="00D07B16" w:rsidP="00357659" w:rsidRDefault="00D07B16" w14:paraId="1B7887EF" w14:textId="77777777">
            <w:pPr>
              <w:spacing w:before="120" w:after="120" w:line="276" w:lineRule="auto"/>
              <w:jc w:val="right"/>
              <w:cnfStyle w:val="100000000000" w:firstRow="1" w:lastRow="0" w:firstColumn="0" w:lastColumn="0" w:oddVBand="0" w:evenVBand="0" w:oddHBand="0" w:evenHBand="0" w:firstRowFirstColumn="0" w:firstRowLastColumn="0" w:lastRowFirstColumn="0" w:lastRowLastColumn="0"/>
            </w:pPr>
            <w:r w:rsidRPr="00357659">
              <w:t>Amount</w:t>
            </w:r>
          </w:p>
        </w:tc>
      </w:tr>
      <w:tr w:rsidRPr="00672930" w:rsidR="00D07B16" w:rsidTr="001456B9" w14:paraId="0B0D20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rsidRPr="00357659" w:rsidR="00D07B16" w:rsidP="00247D8D" w:rsidRDefault="00D07B16" w14:paraId="773B3C05" w14:textId="77777777">
            <w:pPr>
              <w:spacing w:before="240" w:after="160" w:line="276" w:lineRule="auto"/>
              <w:rPr>
                <w:b w:val="0"/>
                <w:bCs w:val="0"/>
              </w:rPr>
            </w:pPr>
            <w:r w:rsidRPr="00357659">
              <w:rPr>
                <w:b w:val="0"/>
                <w:bCs w:val="0"/>
              </w:rPr>
              <w:t>Technology and Operations</w:t>
            </w:r>
          </w:p>
        </w:tc>
        <w:tc>
          <w:tcPr>
            <w:tcW w:w="5103" w:type="dxa"/>
            <w:shd w:val="clear" w:color="auto" w:fill="auto"/>
          </w:tcPr>
          <w:p w:rsidRPr="003F3184" w:rsidR="00D07B16" w:rsidP="00247D8D" w:rsidRDefault="00D07B16" w14:paraId="367A79BD" w14:textId="77777777">
            <w:pPr>
              <w:spacing w:before="240" w:after="160" w:line="276" w:lineRule="auto"/>
              <w:cnfStyle w:val="000000100000" w:firstRow="0" w:lastRow="0" w:firstColumn="0" w:lastColumn="0" w:oddVBand="0" w:evenVBand="0" w:oddHBand="1" w:evenHBand="0" w:firstRowFirstColumn="0" w:firstRowLastColumn="0" w:lastRowFirstColumn="0" w:lastRowLastColumn="0"/>
            </w:pPr>
            <w:r w:rsidRPr="003F3184">
              <w:t>Operation of the UPI Service through the DSB platform including technical and asset-class support</w:t>
            </w:r>
          </w:p>
        </w:tc>
        <w:tc>
          <w:tcPr>
            <w:tcW w:w="1508" w:type="dxa"/>
            <w:shd w:val="clear" w:color="auto" w:fill="auto"/>
            <w:vAlign w:val="center"/>
          </w:tcPr>
          <w:p w:rsidRPr="003F3184" w:rsidR="00D07B16" w:rsidP="00357659" w:rsidRDefault="00D07B16" w14:paraId="139D0D1F" w14:textId="77777777">
            <w:pPr>
              <w:spacing w:before="240" w:after="160" w:line="276" w:lineRule="auto"/>
              <w:jc w:val="right"/>
              <w:cnfStyle w:val="000000100000" w:firstRow="0" w:lastRow="0" w:firstColumn="0" w:lastColumn="0" w:oddVBand="0" w:evenVBand="0" w:oddHBand="1" w:evenHBand="0" w:firstRowFirstColumn="0" w:firstRowLastColumn="0" w:lastRowFirstColumn="0" w:lastRowLastColumn="0"/>
            </w:pPr>
            <w:r w:rsidRPr="003F3184">
              <w:t>€2,440k</w:t>
            </w:r>
          </w:p>
        </w:tc>
      </w:tr>
      <w:tr w:rsidRPr="00672930" w:rsidR="00D07B16" w:rsidTr="001456B9" w14:paraId="42C6E1F4"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CEEFF2"/>
          </w:tcPr>
          <w:p w:rsidRPr="00357659" w:rsidR="00D07B16" w:rsidP="00247D8D" w:rsidRDefault="00D07B16" w14:paraId="119ED81E" w14:textId="77777777">
            <w:pPr>
              <w:spacing w:before="240" w:after="160" w:line="276" w:lineRule="auto"/>
              <w:jc w:val="both"/>
              <w:rPr>
                <w:b w:val="0"/>
                <w:bCs w:val="0"/>
              </w:rPr>
            </w:pPr>
            <w:r w:rsidRPr="00357659">
              <w:rPr>
                <w:b w:val="0"/>
                <w:bCs w:val="0"/>
              </w:rPr>
              <w:t>Management</w:t>
            </w:r>
          </w:p>
        </w:tc>
        <w:tc>
          <w:tcPr>
            <w:tcW w:w="5103" w:type="dxa"/>
            <w:shd w:val="clear" w:color="auto" w:fill="CEEFF2"/>
          </w:tcPr>
          <w:p w:rsidRPr="003F3184" w:rsidR="00D07B16" w:rsidP="00247D8D" w:rsidRDefault="00D07B16" w14:paraId="15D5ABF3" w14:textId="7DE4A578">
            <w:pPr>
              <w:spacing w:before="240" w:after="160" w:line="276" w:lineRule="auto"/>
              <w:cnfStyle w:val="000000000000" w:firstRow="0" w:lastRow="0" w:firstColumn="0" w:lastColumn="0" w:oddVBand="0" w:evenVBand="0" w:oddHBand="0" w:evenHBand="0" w:firstRowFirstColumn="0" w:firstRowLastColumn="0" w:lastRowFirstColumn="0" w:lastRowLastColumn="0"/>
            </w:pPr>
            <w:r w:rsidRPr="003F3184">
              <w:t>Senior management team including MD, Managed Service Provider</w:t>
            </w:r>
            <w:r w:rsidRPr="003F3184" w:rsidR="008B2EDA">
              <w:rPr>
                <w:vertAlign w:val="superscript"/>
              </w:rPr>
              <w:t>#</w:t>
            </w:r>
            <w:r w:rsidRPr="003F3184">
              <w:t xml:space="preserve"> management team and CFO</w:t>
            </w:r>
          </w:p>
        </w:tc>
        <w:tc>
          <w:tcPr>
            <w:tcW w:w="1508" w:type="dxa"/>
            <w:shd w:val="clear" w:color="auto" w:fill="CEEFF2"/>
            <w:vAlign w:val="center"/>
          </w:tcPr>
          <w:p w:rsidRPr="003F3184" w:rsidR="00D07B16" w:rsidP="00357659" w:rsidRDefault="00D07B16" w14:paraId="413253D5" w14:textId="77777777">
            <w:pPr>
              <w:spacing w:before="240" w:after="160" w:line="276" w:lineRule="auto"/>
              <w:jc w:val="right"/>
              <w:cnfStyle w:val="000000000000" w:firstRow="0" w:lastRow="0" w:firstColumn="0" w:lastColumn="0" w:oddVBand="0" w:evenVBand="0" w:oddHBand="0" w:evenHBand="0" w:firstRowFirstColumn="0" w:firstRowLastColumn="0" w:lastRowFirstColumn="0" w:lastRowLastColumn="0"/>
            </w:pPr>
            <w:r w:rsidRPr="003F3184">
              <w:t>€33k</w:t>
            </w:r>
          </w:p>
        </w:tc>
      </w:tr>
      <w:tr w:rsidRPr="00672930" w:rsidR="00D07B16" w:rsidTr="001456B9" w14:paraId="04B26E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rsidRPr="00357659" w:rsidR="00D07B16" w:rsidP="00247D8D" w:rsidRDefault="00D07B16" w14:paraId="62D723BB" w14:textId="77777777">
            <w:pPr>
              <w:spacing w:before="240" w:after="160" w:line="276" w:lineRule="auto"/>
              <w:jc w:val="both"/>
              <w:rPr>
                <w:b w:val="0"/>
                <w:bCs w:val="0"/>
              </w:rPr>
            </w:pPr>
            <w:r w:rsidRPr="00357659">
              <w:rPr>
                <w:b w:val="0"/>
                <w:bCs w:val="0"/>
              </w:rPr>
              <w:t>Administration</w:t>
            </w:r>
          </w:p>
        </w:tc>
        <w:tc>
          <w:tcPr>
            <w:tcW w:w="5103" w:type="dxa"/>
            <w:shd w:val="clear" w:color="auto" w:fill="auto"/>
          </w:tcPr>
          <w:p w:rsidRPr="003F3184" w:rsidR="00D07B16" w:rsidP="00247D8D" w:rsidRDefault="00D07B16" w14:paraId="7282B1D2" w14:textId="77777777">
            <w:pPr>
              <w:spacing w:before="240" w:after="160" w:line="276" w:lineRule="auto"/>
              <w:cnfStyle w:val="000000100000" w:firstRow="0" w:lastRow="0" w:firstColumn="0" w:lastColumn="0" w:oddVBand="0" w:evenVBand="0" w:oddHBand="1" w:evenHBand="0" w:firstRowFirstColumn="0" w:firstRowLastColumn="0" w:lastRowFirstColumn="0" w:lastRowLastColumn="0"/>
            </w:pPr>
            <w:r w:rsidRPr="003F3184">
              <w:t>Administrative costs and overheads such as office space, and administrative support functions</w:t>
            </w:r>
          </w:p>
        </w:tc>
        <w:tc>
          <w:tcPr>
            <w:tcW w:w="1508" w:type="dxa"/>
            <w:shd w:val="clear" w:color="auto" w:fill="auto"/>
            <w:vAlign w:val="center"/>
          </w:tcPr>
          <w:p w:rsidRPr="003F3184" w:rsidR="00D07B16" w:rsidP="00357659" w:rsidRDefault="00D07B16" w14:paraId="1AECACEB" w14:textId="77777777">
            <w:pPr>
              <w:spacing w:before="240" w:after="160" w:line="276" w:lineRule="auto"/>
              <w:jc w:val="right"/>
              <w:cnfStyle w:val="000000100000" w:firstRow="0" w:lastRow="0" w:firstColumn="0" w:lastColumn="0" w:oddVBand="0" w:evenVBand="0" w:oddHBand="1" w:evenHBand="0" w:firstRowFirstColumn="0" w:firstRowLastColumn="0" w:lastRowFirstColumn="0" w:lastRowLastColumn="0"/>
            </w:pPr>
            <w:r w:rsidRPr="003F3184">
              <w:t>€202k</w:t>
            </w:r>
          </w:p>
        </w:tc>
      </w:tr>
      <w:tr w:rsidRPr="00672930" w:rsidR="00D07B16" w:rsidTr="001456B9" w14:paraId="28D670B6"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CEEFF2"/>
          </w:tcPr>
          <w:p w:rsidRPr="00357659" w:rsidR="00D07B16" w:rsidP="00247D8D" w:rsidRDefault="00D07B16" w14:paraId="4C56D689" w14:textId="77777777">
            <w:pPr>
              <w:spacing w:before="240" w:after="160" w:line="276" w:lineRule="auto"/>
              <w:jc w:val="both"/>
              <w:rPr>
                <w:b w:val="0"/>
                <w:bCs w:val="0"/>
              </w:rPr>
            </w:pPr>
            <w:r w:rsidRPr="00357659">
              <w:rPr>
                <w:b w:val="0"/>
                <w:bCs w:val="0"/>
              </w:rPr>
              <w:t>External Consultants</w:t>
            </w:r>
          </w:p>
        </w:tc>
        <w:tc>
          <w:tcPr>
            <w:tcW w:w="5103" w:type="dxa"/>
            <w:shd w:val="clear" w:color="auto" w:fill="CEEFF2"/>
          </w:tcPr>
          <w:p w:rsidRPr="003F3184" w:rsidR="00D07B16" w:rsidP="00247D8D" w:rsidRDefault="00D07B16" w14:paraId="3A712E72" w14:textId="77777777">
            <w:pPr>
              <w:spacing w:before="240" w:after="160" w:line="276" w:lineRule="auto"/>
              <w:cnfStyle w:val="000000000000" w:firstRow="0" w:lastRow="0" w:firstColumn="0" w:lastColumn="0" w:oddVBand="0" w:evenVBand="0" w:oddHBand="0" w:evenHBand="0" w:firstRowFirstColumn="0" w:firstRowLastColumn="0" w:lastRowFirstColumn="0" w:lastRowLastColumn="0"/>
            </w:pPr>
            <w:r w:rsidRPr="003F3184">
              <w:t xml:space="preserve">External oversight and legal, professional and communication </w:t>
            </w:r>
          </w:p>
        </w:tc>
        <w:tc>
          <w:tcPr>
            <w:tcW w:w="1508" w:type="dxa"/>
            <w:shd w:val="clear" w:color="auto" w:fill="CEEFF2"/>
            <w:vAlign w:val="center"/>
          </w:tcPr>
          <w:p w:rsidRPr="003F3184" w:rsidR="00D07B16" w:rsidP="00357659" w:rsidRDefault="00D07B16" w14:paraId="230F9BBD" w14:textId="77777777">
            <w:pPr>
              <w:spacing w:before="240" w:after="160" w:line="276" w:lineRule="auto"/>
              <w:jc w:val="right"/>
              <w:cnfStyle w:val="000000000000" w:firstRow="0" w:lastRow="0" w:firstColumn="0" w:lastColumn="0" w:oddVBand="0" w:evenVBand="0" w:oddHBand="0" w:evenHBand="0" w:firstRowFirstColumn="0" w:firstRowLastColumn="0" w:lastRowFirstColumn="0" w:lastRowLastColumn="0"/>
            </w:pPr>
            <w:r w:rsidRPr="003F3184">
              <w:t>€645k</w:t>
            </w:r>
          </w:p>
        </w:tc>
      </w:tr>
      <w:tr w:rsidRPr="00672930" w:rsidR="00D07B16" w:rsidTr="001456B9" w14:paraId="38A67D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rsidRPr="00357659" w:rsidR="00D07B16" w:rsidP="00247D8D" w:rsidRDefault="00D07B16" w14:paraId="45AEC1CB" w14:textId="4E14B226">
            <w:pPr>
              <w:spacing w:before="240" w:after="160" w:line="276" w:lineRule="auto"/>
              <w:jc w:val="both"/>
              <w:rPr>
                <w:b w:val="0"/>
                <w:bCs w:val="0"/>
              </w:rPr>
            </w:pPr>
            <w:r w:rsidRPr="00357659">
              <w:rPr>
                <w:b w:val="0"/>
                <w:bCs w:val="0"/>
              </w:rPr>
              <w:t>Third-party data</w:t>
            </w:r>
            <w:r w:rsidRPr="00357659" w:rsidR="00D73168">
              <w:rPr>
                <w:b w:val="0"/>
                <w:bCs w:val="0"/>
                <w:vertAlign w:val="superscript"/>
              </w:rPr>
              <w:t>##</w:t>
            </w:r>
          </w:p>
        </w:tc>
        <w:tc>
          <w:tcPr>
            <w:tcW w:w="5103" w:type="dxa"/>
            <w:shd w:val="clear" w:color="auto" w:fill="auto"/>
          </w:tcPr>
          <w:p w:rsidRPr="003F3184" w:rsidR="00D07B16" w:rsidP="00247D8D" w:rsidRDefault="00D07B16" w14:paraId="5C4D741E" w14:textId="77777777">
            <w:pPr>
              <w:spacing w:before="240" w:after="160" w:line="276" w:lineRule="auto"/>
              <w:cnfStyle w:val="000000100000" w:firstRow="0" w:lastRow="0" w:firstColumn="0" w:lastColumn="0" w:oddVBand="0" w:evenVBand="0" w:oddHBand="1" w:evenHBand="0" w:firstRowFirstColumn="0" w:firstRowLastColumn="0" w:lastRowFirstColumn="0" w:lastRowLastColumn="0"/>
            </w:pPr>
            <w:r w:rsidRPr="003F3184">
              <w:t>Provision of third-party reference data</w:t>
            </w:r>
          </w:p>
        </w:tc>
        <w:tc>
          <w:tcPr>
            <w:tcW w:w="1508" w:type="dxa"/>
            <w:shd w:val="clear" w:color="auto" w:fill="auto"/>
            <w:vAlign w:val="center"/>
          </w:tcPr>
          <w:p w:rsidRPr="003F3184" w:rsidR="00D07B16" w:rsidP="00357659" w:rsidRDefault="00D07B16" w14:paraId="226C87E7" w14:textId="40956C4C">
            <w:pPr>
              <w:spacing w:before="240" w:after="160" w:line="276" w:lineRule="auto"/>
              <w:jc w:val="right"/>
              <w:cnfStyle w:val="000000100000" w:firstRow="0" w:lastRow="0" w:firstColumn="0" w:lastColumn="0" w:oddVBand="0" w:evenVBand="0" w:oddHBand="1" w:evenHBand="0" w:firstRowFirstColumn="0" w:firstRowLastColumn="0" w:lastRowFirstColumn="0" w:lastRowLastColumn="0"/>
            </w:pPr>
            <w:r w:rsidRPr="003F3184">
              <w:t>TBC</w:t>
            </w:r>
          </w:p>
        </w:tc>
      </w:tr>
      <w:tr w:rsidRPr="00672930" w:rsidR="00D07B16" w:rsidTr="001456B9" w14:paraId="50612D09"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CEEFF2"/>
          </w:tcPr>
          <w:p w:rsidRPr="00357659" w:rsidR="00D07B16" w:rsidP="00247D8D" w:rsidRDefault="00D07B16" w14:paraId="6618A7FA" w14:textId="47ACEED2">
            <w:pPr>
              <w:spacing w:before="240" w:after="160"/>
              <w:jc w:val="both"/>
              <w:rPr>
                <w:b w:val="0"/>
                <w:bCs w:val="0"/>
              </w:rPr>
            </w:pPr>
            <w:r w:rsidRPr="00357659">
              <w:rPr>
                <w:b w:val="0"/>
                <w:bCs w:val="0"/>
              </w:rPr>
              <w:t>Contingency</w:t>
            </w:r>
            <w:r w:rsidRPr="00357659" w:rsidR="008B2EDA">
              <w:rPr>
                <w:b w:val="0"/>
                <w:bCs w:val="0"/>
                <w:vertAlign w:val="superscript"/>
              </w:rPr>
              <w:t>###</w:t>
            </w:r>
          </w:p>
        </w:tc>
        <w:tc>
          <w:tcPr>
            <w:tcW w:w="5103" w:type="dxa"/>
            <w:shd w:val="clear" w:color="auto" w:fill="CEEFF2"/>
          </w:tcPr>
          <w:p w:rsidRPr="003F3184" w:rsidR="00D07B16" w:rsidDel="00F0423A" w:rsidP="00247D8D" w:rsidRDefault="00D07B16" w14:paraId="5AF10181" w14:textId="5052BC70">
            <w:pPr>
              <w:spacing w:before="240" w:after="160"/>
              <w:jc w:val="both"/>
              <w:cnfStyle w:val="000000000000" w:firstRow="0" w:lastRow="0" w:firstColumn="0" w:lastColumn="0" w:oddVBand="0" w:evenVBand="0" w:oddHBand="0" w:evenHBand="0" w:firstRowFirstColumn="0" w:firstRowLastColumn="0" w:lastRowFirstColumn="0" w:lastRowLastColumn="0"/>
            </w:pPr>
            <w:r w:rsidRPr="003F3184">
              <w:t xml:space="preserve">20% contingency to cover unplanned costs to support the service once rolled out </w:t>
            </w:r>
          </w:p>
        </w:tc>
        <w:tc>
          <w:tcPr>
            <w:tcW w:w="1508" w:type="dxa"/>
            <w:shd w:val="clear" w:color="auto" w:fill="CEEFF2"/>
            <w:vAlign w:val="center"/>
          </w:tcPr>
          <w:p w:rsidRPr="003F3184" w:rsidR="00D07B16" w:rsidP="00357659" w:rsidRDefault="00D07B16" w14:paraId="6AD389FA" w14:textId="77777777">
            <w:pPr>
              <w:spacing w:before="240" w:after="160"/>
              <w:jc w:val="right"/>
              <w:cnfStyle w:val="000000000000" w:firstRow="0" w:lastRow="0" w:firstColumn="0" w:lastColumn="0" w:oddVBand="0" w:evenVBand="0" w:oddHBand="0" w:evenHBand="0" w:firstRowFirstColumn="0" w:firstRowLastColumn="0" w:lastRowFirstColumn="0" w:lastRowLastColumn="0"/>
            </w:pPr>
            <w:r w:rsidRPr="003F3184">
              <w:t>€664k</w:t>
            </w:r>
          </w:p>
        </w:tc>
      </w:tr>
      <w:tr w:rsidRPr="00672930" w:rsidR="00D07B16" w:rsidTr="001456B9" w14:paraId="4840C8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30AEB9"/>
          </w:tcPr>
          <w:p w:rsidRPr="00357659" w:rsidR="00D07B16" w:rsidP="00247D8D" w:rsidRDefault="00D07B16" w14:paraId="3B099DCB" w14:textId="38D2A184">
            <w:pPr>
              <w:spacing w:before="240" w:after="160" w:line="276" w:lineRule="auto"/>
              <w:jc w:val="both"/>
              <w:rPr>
                <w:color w:val="FFFFFF" w:themeColor="background1"/>
              </w:rPr>
            </w:pPr>
            <w:r w:rsidRPr="00357659">
              <w:rPr>
                <w:color w:val="FFFFFF" w:themeColor="background1"/>
              </w:rPr>
              <w:t>Total</w:t>
            </w:r>
            <w:r w:rsidRPr="00357659" w:rsidR="008B2EDA">
              <w:rPr>
                <w:color w:val="FFFFFF" w:themeColor="background1"/>
              </w:rPr>
              <w:t xml:space="preserve"> Estimate</w:t>
            </w:r>
            <w:r w:rsidRPr="00357659" w:rsidR="00D73168">
              <w:rPr>
                <w:color w:val="FFFFFF" w:themeColor="background1"/>
              </w:rPr>
              <w:t>d</w:t>
            </w:r>
            <w:r w:rsidRPr="00357659" w:rsidR="008B2EDA">
              <w:rPr>
                <w:color w:val="FFFFFF" w:themeColor="background1"/>
              </w:rPr>
              <w:t xml:space="preserve"> </w:t>
            </w:r>
            <w:proofErr w:type="spellStart"/>
            <w:r w:rsidRPr="00357659" w:rsidR="008B2EDA">
              <w:rPr>
                <w:color w:val="FFFFFF" w:themeColor="background1"/>
              </w:rPr>
              <w:t>Opex</w:t>
            </w:r>
            <w:proofErr w:type="spellEnd"/>
          </w:p>
        </w:tc>
        <w:tc>
          <w:tcPr>
            <w:tcW w:w="5103" w:type="dxa"/>
            <w:shd w:val="clear" w:color="auto" w:fill="30AEB9"/>
          </w:tcPr>
          <w:p w:rsidRPr="00357659" w:rsidR="00D07B16" w:rsidP="00247D8D" w:rsidRDefault="00D07B16" w14:paraId="7AF74152" w14:textId="77777777">
            <w:pPr>
              <w:spacing w:before="240" w:after="160" w:line="276" w:lineRule="auto"/>
              <w:jc w:val="both"/>
              <w:cnfStyle w:val="000000100000" w:firstRow="0" w:lastRow="0" w:firstColumn="0" w:lastColumn="0" w:oddVBand="0" w:evenVBand="0" w:oddHBand="1" w:evenHBand="0" w:firstRowFirstColumn="0" w:firstRowLastColumn="0" w:lastRowFirstColumn="0" w:lastRowLastColumn="0"/>
              <w:rPr>
                <w:color w:val="FFFFFF" w:themeColor="background1"/>
              </w:rPr>
            </w:pPr>
            <w:r w:rsidRPr="00357659" w:rsidDel="00F0423A">
              <w:rPr>
                <w:color w:val="FFFFFF" w:themeColor="background1"/>
              </w:rPr>
              <w:t xml:space="preserve"> </w:t>
            </w:r>
          </w:p>
        </w:tc>
        <w:tc>
          <w:tcPr>
            <w:tcW w:w="1508" w:type="dxa"/>
            <w:shd w:val="clear" w:color="auto" w:fill="30AEB9"/>
            <w:vAlign w:val="center"/>
          </w:tcPr>
          <w:p w:rsidRPr="00357659" w:rsidR="00D07B16" w:rsidP="00357659" w:rsidRDefault="00D07B16" w14:paraId="7A91D90D" w14:textId="77777777">
            <w:pPr>
              <w:spacing w:before="240" w:after="160" w:line="276" w:lineRule="auto"/>
              <w:jc w:val="right"/>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357659">
              <w:rPr>
                <w:b/>
                <w:bCs/>
                <w:color w:val="FFFFFF" w:themeColor="background1"/>
              </w:rPr>
              <w:t>€3,983k</w:t>
            </w:r>
          </w:p>
        </w:tc>
      </w:tr>
    </w:tbl>
    <w:p w:rsidR="00D07B16" w:rsidP="00D07B16" w:rsidRDefault="00D07B16" w14:paraId="78486095" w14:textId="77777777">
      <w:pPr>
        <w:spacing w:after="0"/>
        <w:jc w:val="both"/>
      </w:pPr>
    </w:p>
    <w:p w:rsidR="00357659" w:rsidP="00357659" w:rsidRDefault="00357659" w14:paraId="7823BC55" w14:textId="77777777">
      <w:pPr>
        <w:spacing w:after="120"/>
        <w:jc w:val="both"/>
        <w:rPr>
          <w:vertAlign w:val="superscript"/>
        </w:rPr>
      </w:pPr>
      <w:r w:rsidRPr="008A53E0">
        <w:rPr>
          <w:b/>
          <w:bCs/>
          <w:u w:val="single"/>
          <w:vertAlign w:val="superscript"/>
        </w:rPr>
        <w:t>Notes</w:t>
      </w:r>
      <w:r>
        <w:rPr>
          <w:vertAlign w:val="superscript"/>
        </w:rPr>
        <w:t>:</w:t>
      </w:r>
    </w:p>
    <w:p w:rsidR="00D07B16" w:rsidP="00357659" w:rsidRDefault="008B2EDA" w14:paraId="0BAE329D" w14:textId="0B034B60">
      <w:pPr>
        <w:spacing w:after="120"/>
        <w:jc w:val="both"/>
        <w:rPr>
          <w:sz w:val="20"/>
          <w:szCs w:val="20"/>
        </w:rPr>
      </w:pPr>
      <w:r w:rsidRPr="006E6B31">
        <w:rPr>
          <w:vertAlign w:val="superscript"/>
        </w:rPr>
        <w:t>#</w:t>
      </w:r>
      <w:r w:rsidRPr="008C726A" w:rsidR="00D07B16">
        <w:rPr>
          <w:sz w:val="20"/>
          <w:szCs w:val="20"/>
        </w:rPr>
        <w:t xml:space="preserve"> The Managed Service Provider is the organization engaged by the DSB to build and run the UPI service.</w:t>
      </w:r>
    </w:p>
    <w:p w:rsidRPr="008C726A" w:rsidR="00D07B16" w:rsidP="00357659" w:rsidRDefault="008B2EDA" w14:paraId="6A55E120" w14:textId="6E7BA366">
      <w:pPr>
        <w:spacing w:after="120"/>
        <w:jc w:val="both"/>
        <w:rPr>
          <w:sz w:val="20"/>
          <w:szCs w:val="20"/>
        </w:rPr>
      </w:pPr>
      <w:r w:rsidRPr="006E6B31">
        <w:rPr>
          <w:vertAlign w:val="superscript"/>
        </w:rPr>
        <w:t>##</w:t>
      </w:r>
      <w:r w:rsidR="00D07B16">
        <w:rPr>
          <w:sz w:val="20"/>
          <w:szCs w:val="20"/>
        </w:rPr>
        <w:t xml:space="preserve"> </w:t>
      </w:r>
      <w:r>
        <w:rPr>
          <w:sz w:val="20"/>
          <w:szCs w:val="20"/>
        </w:rPr>
        <w:t xml:space="preserve">The DSB is currently undertaking an RFI process in relation to third-party reference data </w:t>
      </w:r>
      <w:r w:rsidRPr="008C726A">
        <w:rPr>
          <w:sz w:val="20"/>
          <w:szCs w:val="20"/>
        </w:rPr>
        <w:t>(</w:t>
      </w:r>
      <w:hyperlink w:history="1" r:id="rId18">
        <w:r w:rsidRPr="00CB1460" w:rsidR="001D3F28">
          <w:rPr>
            <w:rStyle w:val="Hyperlink"/>
            <w:sz w:val="20"/>
            <w:szCs w:val="20"/>
          </w:rPr>
          <w:t>https://www.anna-dsb.com/2021/03/29/the-dsb-opens-rfi-on-reference-data-provider/</w:t>
        </w:r>
      </w:hyperlink>
      <w:r w:rsidR="001D3F28">
        <w:rPr>
          <w:sz w:val="20"/>
          <w:szCs w:val="20"/>
        </w:rPr>
        <w:t xml:space="preserve"> </w:t>
      </w:r>
      <w:r w:rsidRPr="008C726A">
        <w:rPr>
          <w:sz w:val="20"/>
          <w:szCs w:val="20"/>
        </w:rPr>
        <w:t xml:space="preserve">). </w:t>
      </w:r>
      <w:r>
        <w:rPr>
          <w:sz w:val="20"/>
          <w:szCs w:val="20"/>
        </w:rPr>
        <w:t>On this basis t</w:t>
      </w:r>
      <w:r w:rsidRPr="008C726A">
        <w:rPr>
          <w:sz w:val="20"/>
          <w:szCs w:val="20"/>
        </w:rPr>
        <w:t>hird</w:t>
      </w:r>
      <w:r w:rsidRPr="008C726A" w:rsidR="00D07B16">
        <w:rPr>
          <w:sz w:val="20"/>
          <w:szCs w:val="20"/>
        </w:rPr>
        <w:t xml:space="preserve">-party data costs are </w:t>
      </w:r>
      <w:r>
        <w:rPr>
          <w:sz w:val="20"/>
          <w:szCs w:val="20"/>
        </w:rPr>
        <w:t>currently</w:t>
      </w:r>
      <w:r w:rsidRPr="008C726A" w:rsidR="00D07B16">
        <w:rPr>
          <w:sz w:val="20"/>
          <w:szCs w:val="20"/>
        </w:rPr>
        <w:t xml:space="preserve"> unknown and consequently are included with a placeholder while the RFI process is concluded</w:t>
      </w:r>
      <w:r>
        <w:rPr>
          <w:sz w:val="20"/>
          <w:szCs w:val="20"/>
        </w:rPr>
        <w:t>.</w:t>
      </w:r>
      <w:r w:rsidRPr="008C726A">
        <w:rPr>
          <w:sz w:val="20"/>
          <w:szCs w:val="20"/>
        </w:rPr>
        <w:t xml:space="preserve"> The</w:t>
      </w:r>
      <w:r w:rsidRPr="008C726A" w:rsidR="00D07B16">
        <w:rPr>
          <w:sz w:val="20"/>
          <w:szCs w:val="20"/>
        </w:rPr>
        <w:t xml:space="preserve"> DSB UPI Fee Model </w:t>
      </w:r>
      <w:r>
        <w:rPr>
          <w:sz w:val="20"/>
          <w:szCs w:val="20"/>
        </w:rPr>
        <w:t xml:space="preserve">Final </w:t>
      </w:r>
      <w:r w:rsidR="00D07B16">
        <w:rPr>
          <w:sz w:val="20"/>
          <w:szCs w:val="20"/>
        </w:rPr>
        <w:t>Report</w:t>
      </w:r>
      <w:r w:rsidRPr="008C726A" w:rsidR="00D07B16">
        <w:rPr>
          <w:sz w:val="20"/>
          <w:szCs w:val="20"/>
        </w:rPr>
        <w:t xml:space="preserve"> will provide a summary of these costs once known.</w:t>
      </w:r>
    </w:p>
    <w:p w:rsidR="00244194" w:rsidP="00357659" w:rsidRDefault="008B2EDA" w14:paraId="1DEEB6B4" w14:textId="1078132F">
      <w:pPr>
        <w:spacing w:after="120"/>
      </w:pPr>
      <w:r w:rsidRPr="006E6B31">
        <w:rPr>
          <w:vertAlign w:val="superscript"/>
        </w:rPr>
        <w:t>###</w:t>
      </w:r>
      <w:r>
        <w:rPr>
          <w:sz w:val="20"/>
          <w:szCs w:val="20"/>
        </w:rPr>
        <w:t xml:space="preserve"> Contingency cannot be used without the </w:t>
      </w:r>
      <w:r w:rsidR="003116BA">
        <w:rPr>
          <w:sz w:val="20"/>
          <w:szCs w:val="20"/>
        </w:rPr>
        <w:t xml:space="preserve">approval </w:t>
      </w:r>
      <w:r>
        <w:rPr>
          <w:sz w:val="20"/>
          <w:szCs w:val="20"/>
        </w:rPr>
        <w:t>of the DSB Board.</w:t>
      </w:r>
    </w:p>
    <w:p w:rsidRPr="00537E55" w:rsidR="00244194" w:rsidRDefault="00244194" w14:paraId="3ECD28E5" w14:textId="77777777">
      <w:pPr>
        <w:rPr>
          <w:lang w:val="en-GB"/>
        </w:rPr>
      </w:pPr>
    </w:p>
    <w:p w:rsidRPr="00604003" w:rsidR="00244194" w:rsidRDefault="00B27503" w14:paraId="18F58E2B" w14:textId="7237E0BB">
      <w:pPr>
        <w:pStyle w:val="Heading2"/>
      </w:pPr>
      <w:bookmarkStart w:name="_Toc71369594" w:id="531"/>
      <w:r>
        <w:rPr>
          <w:noProof/>
          <w:lang w:eastAsia="en-GB"/>
        </w:rPr>
        <mc:AlternateContent>
          <mc:Choice Requires="wps">
            <w:drawing>
              <wp:anchor distT="45720" distB="45720" distL="114300" distR="114300" simplePos="0" relativeHeight="251658245" behindDoc="0" locked="0" layoutInCell="1" allowOverlap="1" wp14:anchorId="1491A4C0" wp14:editId="6806DD64">
                <wp:simplePos x="0" y="0"/>
                <wp:positionH relativeFrom="margin">
                  <wp:posOffset>15240</wp:posOffset>
                </wp:positionH>
                <wp:positionV relativeFrom="paragraph">
                  <wp:posOffset>262890</wp:posOffset>
                </wp:positionV>
                <wp:extent cx="5716905" cy="4095750"/>
                <wp:effectExtent l="0" t="0" r="17145" b="1905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4095750"/>
                        </a:xfrm>
                        <a:prstGeom prst="rect">
                          <a:avLst/>
                        </a:prstGeom>
                        <a:solidFill>
                          <a:srgbClr val="FFFFFF"/>
                        </a:solidFill>
                        <a:ln w="9525">
                          <a:solidFill>
                            <a:srgbClr val="04AEB9"/>
                          </a:solidFill>
                          <a:miter lim="800000"/>
                          <a:headEnd/>
                          <a:tailEnd/>
                        </a:ln>
                      </wps:spPr>
                      <wps:txbx>
                        <w:txbxContent>
                          <w:p w:rsidR="00B27503" w:rsidP="001456B9" w:rsidRDefault="00244FE0" w14:paraId="457D414D" w14:textId="381D1BCD">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sidRPr="00244FE0">
                              <w:rPr>
                                <w:rStyle w:val="normaltextrun"/>
                                <w:rFonts w:asciiTheme="minorHAnsi" w:hAnsiTheme="minorHAnsi" w:cstheme="minorHAnsi"/>
                                <w:b/>
                                <w:bCs/>
                                <w:i/>
                                <w:iCs/>
                                <w:color w:val="000000"/>
                                <w:sz w:val="22"/>
                                <w:szCs w:val="22"/>
                              </w:rPr>
                              <w:t xml:space="preserve">Summary: </w:t>
                            </w:r>
                            <w:r w:rsidR="00B27503">
                              <w:rPr>
                                <w:rFonts w:asciiTheme="minorHAnsi" w:hAnsiTheme="minorHAnsi" w:cstheme="minorHAnsi"/>
                                <w:sz w:val="22"/>
                                <w:szCs w:val="22"/>
                              </w:rPr>
                              <w:t>The</w:t>
                            </w:r>
                            <w:r w:rsidRPr="00856881" w:rsidR="00B27503">
                              <w:rPr>
                                <w:rFonts w:asciiTheme="minorHAnsi" w:hAnsiTheme="minorHAnsi" w:cstheme="minorHAnsi"/>
                                <w:sz w:val="22"/>
                                <w:szCs w:val="22"/>
                              </w:rPr>
                              <w:t xml:space="preserve"> DSB </w:t>
                            </w:r>
                            <w:r w:rsidR="008A0DBA">
                              <w:rPr>
                                <w:rFonts w:asciiTheme="minorHAnsi" w:hAnsiTheme="minorHAnsi" w:cstheme="minorHAnsi"/>
                                <w:sz w:val="22"/>
                                <w:szCs w:val="22"/>
                              </w:rPr>
                              <w:t>expects</w:t>
                            </w:r>
                            <w:r w:rsidR="00B27503">
                              <w:rPr>
                                <w:rFonts w:asciiTheme="minorHAnsi" w:hAnsiTheme="minorHAnsi" w:cstheme="minorHAnsi"/>
                                <w:sz w:val="22"/>
                                <w:szCs w:val="22"/>
                              </w:rPr>
                              <w:t xml:space="preserve"> the costs </w:t>
                            </w:r>
                            <w:r w:rsidRPr="00856881" w:rsidR="00B27503">
                              <w:rPr>
                                <w:rFonts w:asciiTheme="minorHAnsi" w:hAnsiTheme="minorHAnsi" w:cstheme="minorHAnsi"/>
                                <w:sz w:val="22"/>
                                <w:szCs w:val="22"/>
                              </w:rPr>
                              <w:t xml:space="preserve">for </w:t>
                            </w:r>
                            <w:r w:rsidR="008A0DBA">
                              <w:rPr>
                                <w:rFonts w:asciiTheme="minorHAnsi" w:hAnsiTheme="minorHAnsi" w:cstheme="minorHAnsi"/>
                                <w:sz w:val="22"/>
                                <w:szCs w:val="22"/>
                              </w:rPr>
                              <w:t>the</w:t>
                            </w:r>
                            <w:r w:rsidR="00B27503">
                              <w:rPr>
                                <w:rFonts w:asciiTheme="minorHAnsi" w:hAnsiTheme="minorHAnsi" w:cstheme="minorHAnsi"/>
                                <w:sz w:val="22"/>
                                <w:szCs w:val="22"/>
                              </w:rPr>
                              <w:t xml:space="preserve"> services it provides to be </w:t>
                            </w:r>
                            <w:r w:rsidRPr="006604C9" w:rsidR="00B27503">
                              <w:rPr>
                                <w:rFonts w:asciiTheme="minorHAnsi" w:hAnsiTheme="minorHAnsi" w:cstheme="minorHAnsi"/>
                                <w:sz w:val="22"/>
                                <w:szCs w:val="22"/>
                              </w:rPr>
                              <w:t>recovered from the</w:t>
                            </w:r>
                            <w:r w:rsidR="00B27503">
                              <w:rPr>
                                <w:rFonts w:asciiTheme="minorHAnsi" w:hAnsiTheme="minorHAnsi" w:cstheme="minorHAnsi"/>
                                <w:sz w:val="22"/>
                                <w:szCs w:val="22"/>
                              </w:rPr>
                              <w:t xml:space="preserve"> </w:t>
                            </w:r>
                            <w:r w:rsidRPr="006604C9" w:rsidR="00B27503">
                              <w:rPr>
                                <w:rFonts w:asciiTheme="minorHAnsi" w:hAnsiTheme="minorHAnsi" w:cstheme="minorHAnsi"/>
                                <w:sz w:val="22"/>
                                <w:szCs w:val="22"/>
                              </w:rPr>
                              <w:t>user</w:t>
                            </w:r>
                            <w:r w:rsidR="00B27503">
                              <w:rPr>
                                <w:rFonts w:asciiTheme="minorHAnsi" w:hAnsiTheme="minorHAnsi" w:cstheme="minorHAnsi"/>
                                <w:sz w:val="22"/>
                                <w:szCs w:val="22"/>
                              </w:rPr>
                              <w:t xml:space="preserve"> base </w:t>
                            </w:r>
                            <w:r w:rsidRPr="006604C9" w:rsidR="00B27503">
                              <w:rPr>
                                <w:rFonts w:asciiTheme="minorHAnsi" w:hAnsiTheme="minorHAnsi" w:cstheme="minorHAnsi"/>
                                <w:sz w:val="22"/>
                                <w:szCs w:val="22"/>
                              </w:rPr>
                              <w:t xml:space="preserve">of the </w:t>
                            </w:r>
                            <w:r w:rsidRPr="00625FC0" w:rsidR="00B27503">
                              <w:rPr>
                                <w:rFonts w:asciiTheme="minorHAnsi" w:hAnsiTheme="minorHAnsi" w:cstheme="minorHAnsi"/>
                                <w:sz w:val="22"/>
                                <w:szCs w:val="22"/>
                              </w:rPr>
                              <w:t xml:space="preserve">respective </w:t>
                            </w:r>
                            <w:r w:rsidRPr="008C726A" w:rsidR="00B27503">
                              <w:rPr>
                                <w:rFonts w:asciiTheme="minorHAnsi" w:hAnsiTheme="minorHAnsi" w:cstheme="minorHAnsi"/>
                                <w:sz w:val="22"/>
                                <w:szCs w:val="22"/>
                              </w:rPr>
                              <w:t xml:space="preserve">services. </w:t>
                            </w:r>
                          </w:p>
                          <w:p w:rsidR="00B27503" w:rsidP="001456B9" w:rsidRDefault="00B27503" w14:paraId="713EF053" w14:textId="12875B23">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Given the high volume of forecast demand for the UPI service as outlined in section 4.1, a dedicated onboarding platform and operating model </w:t>
                            </w:r>
                            <w:r w:rsidR="005365D7">
                              <w:rPr>
                                <w:rFonts w:asciiTheme="minorHAnsi" w:hAnsiTheme="minorHAnsi" w:cstheme="minorHAnsi"/>
                                <w:sz w:val="22"/>
                                <w:szCs w:val="22"/>
                              </w:rPr>
                              <w:t xml:space="preserve">for the UPI service </w:t>
                            </w:r>
                            <w:r>
                              <w:rPr>
                                <w:rFonts w:asciiTheme="minorHAnsi" w:hAnsiTheme="minorHAnsi" w:cstheme="minorHAnsi"/>
                                <w:sz w:val="22"/>
                                <w:szCs w:val="22"/>
                              </w:rPr>
                              <w:t xml:space="preserve">has been scoped and costed to allow the DSB to provide a scalable </w:t>
                            </w:r>
                            <w:r w:rsidR="00766091">
                              <w:rPr>
                                <w:rFonts w:asciiTheme="minorHAnsi" w:hAnsiTheme="minorHAnsi" w:cstheme="minorHAnsi"/>
                                <w:sz w:val="22"/>
                                <w:szCs w:val="22"/>
                              </w:rPr>
                              <w:t xml:space="preserve">UPI </w:t>
                            </w:r>
                            <w:r>
                              <w:rPr>
                                <w:rFonts w:asciiTheme="minorHAnsi" w:hAnsiTheme="minorHAnsi" w:cstheme="minorHAnsi"/>
                                <w:sz w:val="22"/>
                                <w:szCs w:val="22"/>
                              </w:rPr>
                              <w:t xml:space="preserve">service provision. The costs outlined in the previous section all relate solely to the UPI service. </w:t>
                            </w:r>
                          </w:p>
                          <w:p w:rsidR="00953D67" w:rsidP="001456B9" w:rsidRDefault="00B27503" w14:paraId="7CB0A23B" w14:textId="34B0BC2F">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Once the</w:t>
                            </w:r>
                            <w:r w:rsidRPr="0088659D">
                              <w:rPr>
                                <w:rFonts w:asciiTheme="minorHAnsi" w:hAnsiTheme="minorHAnsi" w:cstheme="minorHAnsi"/>
                                <w:sz w:val="22"/>
                                <w:szCs w:val="22"/>
                              </w:rPr>
                              <w:t xml:space="preserve"> UPI service is live</w:t>
                            </w:r>
                            <w:r w:rsidR="00921D24">
                              <w:rPr>
                                <w:rFonts w:asciiTheme="minorHAnsi" w:hAnsiTheme="minorHAnsi" w:cstheme="minorHAnsi"/>
                                <w:sz w:val="22"/>
                                <w:szCs w:val="22"/>
                              </w:rPr>
                              <w:t xml:space="preserve"> and </w:t>
                            </w:r>
                            <w:r w:rsidR="005B3D89">
                              <w:rPr>
                                <w:rFonts w:asciiTheme="minorHAnsi" w:hAnsiTheme="minorHAnsi" w:cstheme="minorHAnsi"/>
                                <w:sz w:val="22"/>
                                <w:szCs w:val="22"/>
                              </w:rPr>
                              <w:t xml:space="preserve">the level of </w:t>
                            </w:r>
                            <w:r w:rsidR="00921D24">
                              <w:rPr>
                                <w:rFonts w:asciiTheme="minorHAnsi" w:hAnsiTheme="minorHAnsi" w:cstheme="minorHAnsi"/>
                                <w:sz w:val="22"/>
                                <w:szCs w:val="22"/>
                              </w:rPr>
                              <w:t xml:space="preserve">demand </w:t>
                            </w:r>
                            <w:r w:rsidR="005B3D89">
                              <w:rPr>
                                <w:rFonts w:asciiTheme="minorHAnsi" w:hAnsiTheme="minorHAnsi" w:cstheme="minorHAnsi"/>
                                <w:sz w:val="22"/>
                                <w:szCs w:val="22"/>
                              </w:rPr>
                              <w:t>is confirmed</w:t>
                            </w:r>
                            <w:r w:rsidRPr="0088659D">
                              <w:rPr>
                                <w:rFonts w:asciiTheme="minorHAnsi" w:hAnsiTheme="minorHAnsi" w:cstheme="minorHAnsi"/>
                                <w:sz w:val="22"/>
                                <w:szCs w:val="22"/>
                              </w:rPr>
                              <w:t xml:space="preserve">, </w:t>
                            </w:r>
                            <w:r>
                              <w:rPr>
                                <w:rFonts w:asciiTheme="minorHAnsi" w:hAnsiTheme="minorHAnsi" w:cstheme="minorHAnsi"/>
                                <w:sz w:val="22"/>
                                <w:szCs w:val="22"/>
                              </w:rPr>
                              <w:t xml:space="preserve">there will be </w:t>
                            </w:r>
                            <w:r w:rsidR="007A7F42">
                              <w:rPr>
                                <w:rFonts w:asciiTheme="minorHAnsi" w:hAnsiTheme="minorHAnsi" w:cstheme="minorHAnsi"/>
                                <w:sz w:val="22"/>
                                <w:szCs w:val="22"/>
                              </w:rPr>
                              <w:t>the opportunity to conduct</w:t>
                            </w:r>
                            <w:r>
                              <w:rPr>
                                <w:rFonts w:asciiTheme="minorHAnsi" w:hAnsiTheme="minorHAnsi" w:cstheme="minorHAnsi"/>
                                <w:sz w:val="22"/>
                                <w:szCs w:val="22"/>
                              </w:rPr>
                              <w:t xml:space="preserve"> analysis on the </w:t>
                            </w:r>
                            <w:r w:rsidR="00B05288">
                              <w:rPr>
                                <w:rFonts w:asciiTheme="minorHAnsi" w:hAnsiTheme="minorHAnsi" w:cstheme="minorHAnsi"/>
                                <w:sz w:val="22"/>
                                <w:szCs w:val="22"/>
                              </w:rPr>
                              <w:t>expected</w:t>
                            </w:r>
                            <w:r>
                              <w:rPr>
                                <w:rFonts w:asciiTheme="minorHAnsi" w:hAnsiTheme="minorHAnsi" w:cstheme="minorHAnsi"/>
                                <w:sz w:val="22"/>
                                <w:szCs w:val="22"/>
                              </w:rPr>
                              <w:t xml:space="preserve"> scope for synergies and shared costs between the UPI service and the </w:t>
                            </w:r>
                            <w:r w:rsidRPr="00856881">
                              <w:rPr>
                                <w:rFonts w:asciiTheme="minorHAnsi" w:hAnsiTheme="minorHAnsi" w:cstheme="minorHAnsi"/>
                                <w:sz w:val="22"/>
                                <w:szCs w:val="22"/>
                              </w:rPr>
                              <w:t>OTC ISIN service</w:t>
                            </w:r>
                            <w:r>
                              <w:rPr>
                                <w:rFonts w:asciiTheme="minorHAnsi" w:hAnsiTheme="minorHAnsi" w:cstheme="minorHAnsi"/>
                                <w:sz w:val="22"/>
                                <w:szCs w:val="22"/>
                              </w:rPr>
                              <w:t xml:space="preserve">, and what an appropriate cost allocation policy would be. </w:t>
                            </w:r>
                          </w:p>
                          <w:p w:rsidR="006104FF" w:rsidP="001456B9" w:rsidRDefault="00953D67" w14:paraId="29851DE4" w14:textId="30684976">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sidRPr="00637A7A">
                              <w:rPr>
                                <w:rFonts w:asciiTheme="minorHAnsi" w:hAnsiTheme="minorHAnsi" w:cstheme="minorHAnsi"/>
                                <w:bCs/>
                                <w:sz w:val="22"/>
                                <w:szCs w:val="22"/>
                              </w:rPr>
                              <w:t>Specifically, the DSB proposes that</w:t>
                            </w:r>
                            <w:r>
                              <w:rPr>
                                <w:rFonts w:asciiTheme="minorHAnsi" w:hAnsiTheme="minorHAnsi" w:cstheme="minorHAnsi"/>
                                <w:bCs/>
                                <w:sz w:val="22"/>
                                <w:szCs w:val="22"/>
                              </w:rPr>
                              <w:t xml:space="preserve"> </w:t>
                            </w:r>
                            <w:r w:rsidRPr="00637A7A">
                              <w:rPr>
                                <w:rFonts w:asciiTheme="minorHAnsi" w:hAnsiTheme="minorHAnsi" w:cstheme="minorHAnsi"/>
                                <w:bCs/>
                                <w:sz w:val="22"/>
                                <w:szCs w:val="22"/>
                              </w:rPr>
                              <w:t xml:space="preserve">100% of the synergies available by leveraging the existing DSB platform </w:t>
                            </w:r>
                            <w:r w:rsidR="00CF787E">
                              <w:rPr>
                                <w:rFonts w:asciiTheme="minorHAnsi" w:hAnsiTheme="minorHAnsi" w:cstheme="minorHAnsi"/>
                                <w:bCs/>
                                <w:sz w:val="22"/>
                                <w:szCs w:val="22"/>
                              </w:rPr>
                              <w:t>are</w:t>
                            </w:r>
                            <w:r w:rsidRPr="00637A7A">
                              <w:rPr>
                                <w:rFonts w:asciiTheme="minorHAnsi" w:hAnsiTheme="minorHAnsi" w:cstheme="minorHAnsi"/>
                                <w:bCs/>
                                <w:sz w:val="22"/>
                                <w:szCs w:val="22"/>
                              </w:rPr>
                              <w:t xml:space="preserve"> allocated to UPI users in 2022 and 2023, after which</w:t>
                            </w:r>
                            <w:r w:rsidR="00BC337A">
                              <w:rPr>
                                <w:rFonts w:asciiTheme="minorHAnsi" w:hAnsiTheme="minorHAnsi" w:cstheme="minorHAnsi"/>
                                <w:bCs/>
                                <w:sz w:val="22"/>
                                <w:szCs w:val="22"/>
                              </w:rPr>
                              <w:t xml:space="preserve"> there will be </w:t>
                            </w:r>
                            <w:r w:rsidR="00FB405E">
                              <w:rPr>
                                <w:rFonts w:asciiTheme="minorHAnsi" w:hAnsiTheme="minorHAnsi" w:cstheme="minorHAnsi"/>
                                <w:bCs/>
                                <w:sz w:val="22"/>
                                <w:szCs w:val="22"/>
                              </w:rPr>
                              <w:t>determination</w:t>
                            </w:r>
                            <w:r w:rsidR="00BC337A">
                              <w:rPr>
                                <w:rFonts w:asciiTheme="minorHAnsi" w:hAnsiTheme="minorHAnsi" w:cstheme="minorHAnsi"/>
                                <w:bCs/>
                                <w:sz w:val="22"/>
                                <w:szCs w:val="22"/>
                              </w:rPr>
                              <w:t xml:space="preserve"> of</w:t>
                            </w:r>
                            <w:r w:rsidRPr="00637A7A">
                              <w:rPr>
                                <w:rFonts w:asciiTheme="minorHAnsi" w:hAnsiTheme="minorHAnsi" w:cstheme="minorHAnsi"/>
                                <w:bCs/>
                                <w:sz w:val="22"/>
                                <w:szCs w:val="22"/>
                              </w:rPr>
                              <w:t xml:space="preserve"> the </w:t>
                            </w:r>
                            <w:r w:rsidR="007770DE">
                              <w:rPr>
                                <w:rFonts w:asciiTheme="minorHAnsi" w:hAnsiTheme="minorHAnsi" w:cstheme="minorHAnsi"/>
                                <w:bCs/>
                                <w:sz w:val="22"/>
                                <w:szCs w:val="22"/>
                              </w:rPr>
                              <w:t>exp</w:t>
                            </w:r>
                            <w:r w:rsidR="00CA2D8B">
                              <w:rPr>
                                <w:rFonts w:asciiTheme="minorHAnsi" w:hAnsiTheme="minorHAnsi" w:cstheme="minorHAnsi"/>
                                <w:bCs/>
                                <w:sz w:val="22"/>
                                <w:szCs w:val="22"/>
                              </w:rPr>
                              <w:t xml:space="preserve">ected </w:t>
                            </w:r>
                            <w:r w:rsidRPr="00637A7A">
                              <w:rPr>
                                <w:rFonts w:asciiTheme="minorHAnsi" w:hAnsiTheme="minorHAnsi" w:cstheme="minorHAnsi"/>
                                <w:bCs/>
                                <w:sz w:val="22"/>
                                <w:szCs w:val="22"/>
                              </w:rPr>
                              <w:t>synergies to be shared between both OTC ISIN users and UPI users</w:t>
                            </w:r>
                            <w:r w:rsidR="006E239F">
                              <w:rPr>
                                <w:rFonts w:asciiTheme="minorHAnsi" w:hAnsiTheme="minorHAnsi" w:cstheme="minorHAnsi"/>
                                <w:bCs/>
                                <w:sz w:val="22"/>
                                <w:szCs w:val="22"/>
                              </w:rPr>
                              <w:t>. T</w:t>
                            </w:r>
                            <w:r w:rsidR="00AF62C0">
                              <w:rPr>
                                <w:rFonts w:asciiTheme="minorHAnsi" w:hAnsiTheme="minorHAnsi" w:cstheme="minorHAnsi"/>
                                <w:bCs/>
                                <w:sz w:val="22"/>
                                <w:szCs w:val="22"/>
                              </w:rPr>
                              <w:t xml:space="preserve">he shared costs will be apportioned </w:t>
                            </w:r>
                            <w:r w:rsidRPr="00637A7A">
                              <w:rPr>
                                <w:rFonts w:asciiTheme="minorHAnsi" w:hAnsiTheme="minorHAnsi" w:cstheme="minorHAnsi"/>
                                <w:bCs/>
                                <w:sz w:val="22"/>
                                <w:szCs w:val="22"/>
                              </w:rPr>
                              <w:t>via an allocation policy that the DSB will propose and consult with stakeholders</w:t>
                            </w:r>
                            <w:r w:rsidRPr="00637A7A" w:rsidDel="00586DE6">
                              <w:rPr>
                                <w:rFonts w:asciiTheme="minorHAnsi" w:hAnsiTheme="minorHAnsi" w:cstheme="minorHAnsi"/>
                                <w:bCs/>
                                <w:sz w:val="22"/>
                                <w:szCs w:val="22"/>
                              </w:rPr>
                              <w:t xml:space="preserve"> </w:t>
                            </w:r>
                            <w:r w:rsidRPr="00637A7A">
                              <w:rPr>
                                <w:rFonts w:asciiTheme="minorHAnsi" w:hAnsiTheme="minorHAnsi" w:cstheme="minorHAnsi"/>
                                <w:bCs/>
                                <w:sz w:val="22"/>
                                <w:szCs w:val="22"/>
                              </w:rPr>
                              <w:t>in 2023</w:t>
                            </w:r>
                            <w:r w:rsidR="00BC337A">
                              <w:rPr>
                                <w:rFonts w:asciiTheme="minorHAnsi" w:hAnsiTheme="minorHAnsi" w:cstheme="minorHAnsi"/>
                                <w:bCs/>
                                <w:sz w:val="22"/>
                                <w:szCs w:val="22"/>
                              </w:rPr>
                              <w:t>.</w:t>
                            </w:r>
                          </w:p>
                          <w:p w:rsidRPr="00957138" w:rsidR="00CC42A6" w:rsidP="00714CCE" w:rsidRDefault="00CC42A6" w14:paraId="066C4DAC" w14:textId="3B5FCC42">
                            <w:pPr>
                              <w:spacing w:before="240"/>
                              <w:jc w:val="both"/>
                              <w:rPr>
                                <w:rFonts w:cstheme="minorHAnsi"/>
                                <w:b/>
                                <w:i/>
                              </w:rPr>
                            </w:pPr>
                            <w:r w:rsidRPr="00957138">
                              <w:rPr>
                                <w:rFonts w:cstheme="minorHAnsi"/>
                                <w:b/>
                                <w:i/>
                              </w:rPr>
                              <w:t xml:space="preserve">Question </w:t>
                            </w:r>
                            <w:r w:rsidR="00DD5BC8">
                              <w:rPr>
                                <w:rFonts w:cstheme="minorHAnsi"/>
                                <w:b/>
                                <w:i/>
                              </w:rPr>
                              <w:t>6</w:t>
                            </w:r>
                            <w:r w:rsidRPr="00957138">
                              <w:rPr>
                                <w:rFonts w:cstheme="minorHAnsi"/>
                                <w:b/>
                                <w:i/>
                              </w:rPr>
                              <w:t>a: Do you concur with this approach</w:t>
                            </w:r>
                            <w:r w:rsidR="009C737F">
                              <w:rPr>
                                <w:rFonts w:cstheme="minorHAnsi"/>
                                <w:b/>
                                <w:i/>
                              </w:rPr>
                              <w:t xml:space="preserve"> to the </w:t>
                            </w:r>
                            <w:r w:rsidR="00555DA6">
                              <w:rPr>
                                <w:rFonts w:cstheme="minorHAnsi"/>
                                <w:b/>
                                <w:i/>
                              </w:rPr>
                              <w:t>cost allocation policy</w:t>
                            </w:r>
                            <w:r w:rsidRPr="00957138">
                              <w:rPr>
                                <w:rFonts w:cstheme="minorHAnsi"/>
                                <w:b/>
                                <w:i/>
                              </w:rPr>
                              <w:t xml:space="preserve">? </w:t>
                            </w:r>
                          </w:p>
                          <w:p w:rsidRPr="00957138" w:rsidR="00244FE0" w:rsidP="001456B9" w:rsidRDefault="00CC42A6" w14:paraId="03EC76C9" w14:textId="5D5E8376">
                            <w:pPr>
                              <w:spacing w:before="240"/>
                              <w:jc w:val="both"/>
                              <w:rPr>
                                <w:b/>
                                <w:i/>
                                <w:color w:val="FF0000"/>
                                <w:lang w:eastAsia="ja-JP"/>
                              </w:rPr>
                            </w:pPr>
                            <w:r w:rsidRPr="00957138">
                              <w:rPr>
                                <w:rFonts w:cstheme="minorHAnsi"/>
                                <w:b/>
                                <w:i/>
                              </w:rPr>
                              <w:t>Question</w:t>
                            </w:r>
                            <w:r w:rsidR="00DD5BC8">
                              <w:rPr>
                                <w:rFonts w:cstheme="minorHAnsi"/>
                                <w:b/>
                                <w:i/>
                              </w:rPr>
                              <w:t xml:space="preserve"> 6</w:t>
                            </w:r>
                            <w:r w:rsidRPr="00957138">
                              <w:rPr>
                                <w:rFonts w:cstheme="minorHAnsi"/>
                                <w:b/>
                                <w:i/>
                              </w:rPr>
                              <w:t xml:space="preserve">b: If not, what specific alternate approach do you recommend? Please provide a clear rationale and any additional </w:t>
                            </w:r>
                            <w:r w:rsidRPr="00957138" w:rsidR="00B740A3">
                              <w:rPr>
                                <w:rFonts w:cstheme="minorHAnsi"/>
                                <w:b/>
                                <w:i/>
                              </w:rPr>
                              <w:t>details</w:t>
                            </w:r>
                            <w:r w:rsidRPr="00957138">
                              <w:rPr>
                                <w:rFonts w:cstheme="minorHAnsi"/>
                                <w:b/>
                                <w:i/>
                              </w:rPr>
                              <w:t xml:space="preserve"> you believe should be incorporated into the DSB’s </w:t>
                            </w:r>
                            <w:r w:rsidRPr="00957138" w:rsidR="00B740A3">
                              <w:rPr>
                                <w:rFonts w:cstheme="minorHAnsi"/>
                                <w:b/>
                                <w:i/>
                              </w:rPr>
                              <w:t>approach</w:t>
                            </w:r>
                            <w:r w:rsidRPr="00957138">
                              <w:rPr>
                                <w:rFonts w:cstheme="minorHAnsi"/>
                                <w:b/>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7ABB161">
              <v:shape id="Text Box 25" style="position:absolute;left:0;text-align:left;margin-left:1.2pt;margin-top:20.7pt;width:450.15pt;height:322.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2" strokecolor="#04aeb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" w14:anchorId="1491A4C0">
                <v:textbox>
                  <w:txbxContent>
                    <w:p w:rsidR="00B27503" w:rsidP="001456B9" w:rsidRDefault="00244FE0" w14:paraId="53E47BEF" w14:textId="381D1BCD">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sidRPr="00244FE0">
                        <w:rPr>
                          <w:rStyle w:val="normaltextrun"/>
                          <w:rFonts w:asciiTheme="minorHAnsi" w:hAnsiTheme="minorHAnsi" w:cstheme="minorHAnsi"/>
                          <w:b/>
                          <w:bCs/>
                          <w:i/>
                          <w:iCs/>
                          <w:color w:val="000000"/>
                          <w:sz w:val="22"/>
                          <w:szCs w:val="22"/>
                        </w:rPr>
                        <w:t xml:space="preserve">Summary: </w:t>
                      </w:r>
                      <w:r w:rsidR="00B27503">
                        <w:rPr>
                          <w:rFonts w:asciiTheme="minorHAnsi" w:hAnsiTheme="minorHAnsi" w:cstheme="minorHAnsi"/>
                          <w:sz w:val="22"/>
                          <w:szCs w:val="22"/>
                        </w:rPr>
                        <w:t>The</w:t>
                      </w:r>
                      <w:r w:rsidRPr="00856881" w:rsidR="00B27503">
                        <w:rPr>
                          <w:rFonts w:asciiTheme="minorHAnsi" w:hAnsiTheme="minorHAnsi" w:cstheme="minorHAnsi"/>
                          <w:sz w:val="22"/>
                          <w:szCs w:val="22"/>
                        </w:rPr>
                        <w:t xml:space="preserve"> DSB </w:t>
                      </w:r>
                      <w:r w:rsidR="008A0DBA">
                        <w:rPr>
                          <w:rFonts w:asciiTheme="minorHAnsi" w:hAnsiTheme="minorHAnsi" w:cstheme="minorHAnsi"/>
                          <w:sz w:val="22"/>
                          <w:szCs w:val="22"/>
                        </w:rPr>
                        <w:t>expects</w:t>
                      </w:r>
                      <w:r w:rsidR="00B27503">
                        <w:rPr>
                          <w:rFonts w:asciiTheme="minorHAnsi" w:hAnsiTheme="minorHAnsi" w:cstheme="minorHAnsi"/>
                          <w:sz w:val="22"/>
                          <w:szCs w:val="22"/>
                        </w:rPr>
                        <w:t xml:space="preserve"> the costs </w:t>
                      </w:r>
                      <w:r w:rsidRPr="00856881" w:rsidR="00B27503">
                        <w:rPr>
                          <w:rFonts w:asciiTheme="minorHAnsi" w:hAnsiTheme="minorHAnsi" w:cstheme="minorHAnsi"/>
                          <w:sz w:val="22"/>
                          <w:szCs w:val="22"/>
                        </w:rPr>
                        <w:t xml:space="preserve">for </w:t>
                      </w:r>
                      <w:r w:rsidR="008A0DBA">
                        <w:rPr>
                          <w:rFonts w:asciiTheme="minorHAnsi" w:hAnsiTheme="minorHAnsi" w:cstheme="minorHAnsi"/>
                          <w:sz w:val="22"/>
                          <w:szCs w:val="22"/>
                        </w:rPr>
                        <w:t>the</w:t>
                      </w:r>
                      <w:r w:rsidR="00B27503">
                        <w:rPr>
                          <w:rFonts w:asciiTheme="minorHAnsi" w:hAnsiTheme="minorHAnsi" w:cstheme="minorHAnsi"/>
                          <w:sz w:val="22"/>
                          <w:szCs w:val="22"/>
                        </w:rPr>
                        <w:t xml:space="preserve"> services it provides to be </w:t>
                      </w:r>
                      <w:r w:rsidRPr="006604C9" w:rsidR="00B27503">
                        <w:rPr>
                          <w:rFonts w:asciiTheme="minorHAnsi" w:hAnsiTheme="minorHAnsi" w:cstheme="minorHAnsi"/>
                          <w:sz w:val="22"/>
                          <w:szCs w:val="22"/>
                        </w:rPr>
                        <w:t>recovered from the</w:t>
                      </w:r>
                      <w:r w:rsidR="00B27503">
                        <w:rPr>
                          <w:rFonts w:asciiTheme="minorHAnsi" w:hAnsiTheme="minorHAnsi" w:cstheme="minorHAnsi"/>
                          <w:sz w:val="22"/>
                          <w:szCs w:val="22"/>
                        </w:rPr>
                        <w:t xml:space="preserve"> </w:t>
                      </w:r>
                      <w:r w:rsidRPr="006604C9" w:rsidR="00B27503">
                        <w:rPr>
                          <w:rFonts w:asciiTheme="minorHAnsi" w:hAnsiTheme="minorHAnsi" w:cstheme="minorHAnsi"/>
                          <w:sz w:val="22"/>
                          <w:szCs w:val="22"/>
                        </w:rPr>
                        <w:t>user</w:t>
                      </w:r>
                      <w:r w:rsidR="00B27503">
                        <w:rPr>
                          <w:rFonts w:asciiTheme="minorHAnsi" w:hAnsiTheme="minorHAnsi" w:cstheme="minorHAnsi"/>
                          <w:sz w:val="22"/>
                          <w:szCs w:val="22"/>
                        </w:rPr>
                        <w:t xml:space="preserve"> base </w:t>
                      </w:r>
                      <w:r w:rsidRPr="006604C9" w:rsidR="00B27503">
                        <w:rPr>
                          <w:rFonts w:asciiTheme="minorHAnsi" w:hAnsiTheme="minorHAnsi" w:cstheme="minorHAnsi"/>
                          <w:sz w:val="22"/>
                          <w:szCs w:val="22"/>
                        </w:rPr>
                        <w:t xml:space="preserve">of the </w:t>
                      </w:r>
                      <w:r w:rsidRPr="00625FC0" w:rsidR="00B27503">
                        <w:rPr>
                          <w:rFonts w:asciiTheme="minorHAnsi" w:hAnsiTheme="minorHAnsi" w:cstheme="minorHAnsi"/>
                          <w:sz w:val="22"/>
                          <w:szCs w:val="22"/>
                        </w:rPr>
                        <w:t xml:space="preserve">respective </w:t>
                      </w:r>
                      <w:r w:rsidRPr="008C726A" w:rsidR="00B27503">
                        <w:rPr>
                          <w:rFonts w:asciiTheme="minorHAnsi" w:hAnsiTheme="minorHAnsi" w:cstheme="minorHAnsi"/>
                          <w:sz w:val="22"/>
                          <w:szCs w:val="22"/>
                        </w:rPr>
                        <w:t xml:space="preserve">services. </w:t>
                      </w:r>
                    </w:p>
                    <w:p w:rsidR="00B27503" w:rsidP="001456B9" w:rsidRDefault="00B27503" w14:paraId="5ACE1DE0" w14:textId="12875B23">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Given the high volume of forecast demand for the UPI service as outlined in section 4.1, a dedicated onboarding platform and operating model </w:t>
                      </w:r>
                      <w:r w:rsidR="005365D7">
                        <w:rPr>
                          <w:rFonts w:asciiTheme="minorHAnsi" w:hAnsiTheme="minorHAnsi" w:cstheme="minorHAnsi"/>
                          <w:sz w:val="22"/>
                          <w:szCs w:val="22"/>
                        </w:rPr>
                        <w:t xml:space="preserve">for the UPI service </w:t>
                      </w:r>
                      <w:r>
                        <w:rPr>
                          <w:rFonts w:asciiTheme="minorHAnsi" w:hAnsiTheme="minorHAnsi" w:cstheme="minorHAnsi"/>
                          <w:sz w:val="22"/>
                          <w:szCs w:val="22"/>
                        </w:rPr>
                        <w:t xml:space="preserve">has been scoped and costed to allow the DSB to provide a scalable </w:t>
                      </w:r>
                      <w:r w:rsidR="00766091">
                        <w:rPr>
                          <w:rFonts w:asciiTheme="minorHAnsi" w:hAnsiTheme="minorHAnsi" w:cstheme="minorHAnsi"/>
                          <w:sz w:val="22"/>
                          <w:szCs w:val="22"/>
                        </w:rPr>
                        <w:t xml:space="preserve">UPI </w:t>
                      </w:r>
                      <w:r>
                        <w:rPr>
                          <w:rFonts w:asciiTheme="minorHAnsi" w:hAnsiTheme="minorHAnsi" w:cstheme="minorHAnsi"/>
                          <w:sz w:val="22"/>
                          <w:szCs w:val="22"/>
                        </w:rPr>
                        <w:t xml:space="preserve">service provision. The costs outlined in the previous section all relate solely to the UPI service. </w:t>
                      </w:r>
                    </w:p>
                    <w:p w:rsidR="00953D67" w:rsidP="001456B9" w:rsidRDefault="00B27503" w14:paraId="485AE8BA" w14:textId="34B0BC2F">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Once the</w:t>
                      </w:r>
                      <w:r w:rsidRPr="0088659D">
                        <w:rPr>
                          <w:rFonts w:asciiTheme="minorHAnsi" w:hAnsiTheme="minorHAnsi" w:cstheme="minorHAnsi"/>
                          <w:sz w:val="22"/>
                          <w:szCs w:val="22"/>
                        </w:rPr>
                        <w:t xml:space="preserve"> UPI service is live</w:t>
                      </w:r>
                      <w:r w:rsidR="00921D24">
                        <w:rPr>
                          <w:rFonts w:asciiTheme="minorHAnsi" w:hAnsiTheme="minorHAnsi" w:cstheme="minorHAnsi"/>
                          <w:sz w:val="22"/>
                          <w:szCs w:val="22"/>
                        </w:rPr>
                        <w:t xml:space="preserve"> and </w:t>
                      </w:r>
                      <w:r w:rsidR="005B3D89">
                        <w:rPr>
                          <w:rFonts w:asciiTheme="minorHAnsi" w:hAnsiTheme="minorHAnsi" w:cstheme="minorHAnsi"/>
                          <w:sz w:val="22"/>
                          <w:szCs w:val="22"/>
                        </w:rPr>
                        <w:t xml:space="preserve">the level of </w:t>
                      </w:r>
                      <w:r w:rsidR="00921D24">
                        <w:rPr>
                          <w:rFonts w:asciiTheme="minorHAnsi" w:hAnsiTheme="minorHAnsi" w:cstheme="minorHAnsi"/>
                          <w:sz w:val="22"/>
                          <w:szCs w:val="22"/>
                        </w:rPr>
                        <w:t xml:space="preserve">demand </w:t>
                      </w:r>
                      <w:r w:rsidR="005B3D89">
                        <w:rPr>
                          <w:rFonts w:asciiTheme="minorHAnsi" w:hAnsiTheme="minorHAnsi" w:cstheme="minorHAnsi"/>
                          <w:sz w:val="22"/>
                          <w:szCs w:val="22"/>
                        </w:rPr>
                        <w:t>is confirmed</w:t>
                      </w:r>
                      <w:r w:rsidRPr="0088659D">
                        <w:rPr>
                          <w:rFonts w:asciiTheme="minorHAnsi" w:hAnsiTheme="minorHAnsi" w:cstheme="minorHAnsi"/>
                          <w:sz w:val="22"/>
                          <w:szCs w:val="22"/>
                        </w:rPr>
                        <w:t xml:space="preserve">, </w:t>
                      </w:r>
                      <w:r>
                        <w:rPr>
                          <w:rFonts w:asciiTheme="minorHAnsi" w:hAnsiTheme="minorHAnsi" w:cstheme="minorHAnsi"/>
                          <w:sz w:val="22"/>
                          <w:szCs w:val="22"/>
                        </w:rPr>
                        <w:t xml:space="preserve">there will be </w:t>
                      </w:r>
                      <w:r w:rsidR="007A7F42">
                        <w:rPr>
                          <w:rFonts w:asciiTheme="minorHAnsi" w:hAnsiTheme="minorHAnsi" w:cstheme="minorHAnsi"/>
                          <w:sz w:val="22"/>
                          <w:szCs w:val="22"/>
                        </w:rPr>
                        <w:t>the opportunity to conduct</w:t>
                      </w:r>
                      <w:r>
                        <w:rPr>
                          <w:rFonts w:asciiTheme="minorHAnsi" w:hAnsiTheme="minorHAnsi" w:cstheme="minorHAnsi"/>
                          <w:sz w:val="22"/>
                          <w:szCs w:val="22"/>
                        </w:rPr>
                        <w:t xml:space="preserve"> analysis on the </w:t>
                      </w:r>
                      <w:r w:rsidR="00B05288">
                        <w:rPr>
                          <w:rFonts w:asciiTheme="minorHAnsi" w:hAnsiTheme="minorHAnsi" w:cstheme="minorHAnsi"/>
                          <w:sz w:val="22"/>
                          <w:szCs w:val="22"/>
                        </w:rPr>
                        <w:t>expected</w:t>
                      </w:r>
                      <w:r>
                        <w:rPr>
                          <w:rFonts w:asciiTheme="minorHAnsi" w:hAnsiTheme="minorHAnsi" w:cstheme="minorHAnsi"/>
                          <w:sz w:val="22"/>
                          <w:szCs w:val="22"/>
                        </w:rPr>
                        <w:t xml:space="preserve"> scope for synergies and shared costs between the UPI service and the </w:t>
                      </w:r>
                      <w:r w:rsidRPr="00856881">
                        <w:rPr>
                          <w:rFonts w:asciiTheme="minorHAnsi" w:hAnsiTheme="minorHAnsi" w:cstheme="minorHAnsi"/>
                          <w:sz w:val="22"/>
                          <w:szCs w:val="22"/>
                        </w:rPr>
                        <w:t>OTC ISIN service</w:t>
                      </w:r>
                      <w:r>
                        <w:rPr>
                          <w:rFonts w:asciiTheme="minorHAnsi" w:hAnsiTheme="minorHAnsi" w:cstheme="minorHAnsi"/>
                          <w:sz w:val="22"/>
                          <w:szCs w:val="22"/>
                        </w:rPr>
                        <w:t xml:space="preserve">, and what an appropriate cost allocation policy would be. </w:t>
                      </w:r>
                    </w:p>
                    <w:p w:rsidR="006104FF" w:rsidP="001456B9" w:rsidRDefault="00953D67" w14:paraId="0FA1732C" w14:textId="30684976">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sidRPr="00637A7A">
                        <w:rPr>
                          <w:rFonts w:asciiTheme="minorHAnsi" w:hAnsiTheme="minorHAnsi" w:cstheme="minorHAnsi"/>
                          <w:bCs/>
                          <w:sz w:val="22"/>
                          <w:szCs w:val="22"/>
                        </w:rPr>
                        <w:t>Specifically, the DSB proposes that</w:t>
                      </w:r>
                      <w:r>
                        <w:rPr>
                          <w:rFonts w:asciiTheme="minorHAnsi" w:hAnsiTheme="minorHAnsi" w:cstheme="minorHAnsi"/>
                          <w:bCs/>
                          <w:sz w:val="22"/>
                          <w:szCs w:val="22"/>
                        </w:rPr>
                        <w:t xml:space="preserve"> </w:t>
                      </w:r>
                      <w:r w:rsidRPr="00637A7A">
                        <w:rPr>
                          <w:rFonts w:asciiTheme="minorHAnsi" w:hAnsiTheme="minorHAnsi" w:cstheme="minorHAnsi"/>
                          <w:bCs/>
                          <w:sz w:val="22"/>
                          <w:szCs w:val="22"/>
                        </w:rPr>
                        <w:t xml:space="preserve">100% of the synergies available by leveraging the existing DSB platform </w:t>
                      </w:r>
                      <w:r w:rsidR="00CF787E">
                        <w:rPr>
                          <w:rFonts w:asciiTheme="minorHAnsi" w:hAnsiTheme="minorHAnsi" w:cstheme="minorHAnsi"/>
                          <w:bCs/>
                          <w:sz w:val="22"/>
                          <w:szCs w:val="22"/>
                        </w:rPr>
                        <w:t>are</w:t>
                      </w:r>
                      <w:r w:rsidRPr="00637A7A">
                        <w:rPr>
                          <w:rFonts w:asciiTheme="minorHAnsi" w:hAnsiTheme="minorHAnsi" w:cstheme="minorHAnsi"/>
                          <w:bCs/>
                          <w:sz w:val="22"/>
                          <w:szCs w:val="22"/>
                        </w:rPr>
                        <w:t xml:space="preserve"> allocated to UPI users in 2022 and 2023, after which</w:t>
                      </w:r>
                      <w:r w:rsidR="00BC337A">
                        <w:rPr>
                          <w:rFonts w:asciiTheme="minorHAnsi" w:hAnsiTheme="minorHAnsi" w:cstheme="minorHAnsi"/>
                          <w:bCs/>
                          <w:sz w:val="22"/>
                          <w:szCs w:val="22"/>
                        </w:rPr>
                        <w:t xml:space="preserve"> there will be </w:t>
                      </w:r>
                      <w:r w:rsidR="00FB405E">
                        <w:rPr>
                          <w:rFonts w:asciiTheme="minorHAnsi" w:hAnsiTheme="minorHAnsi" w:cstheme="minorHAnsi"/>
                          <w:bCs/>
                          <w:sz w:val="22"/>
                          <w:szCs w:val="22"/>
                        </w:rPr>
                        <w:t>determination</w:t>
                      </w:r>
                      <w:r w:rsidR="00BC337A">
                        <w:rPr>
                          <w:rFonts w:asciiTheme="minorHAnsi" w:hAnsiTheme="minorHAnsi" w:cstheme="minorHAnsi"/>
                          <w:bCs/>
                          <w:sz w:val="22"/>
                          <w:szCs w:val="22"/>
                        </w:rPr>
                        <w:t xml:space="preserve"> of</w:t>
                      </w:r>
                      <w:r w:rsidRPr="00637A7A">
                        <w:rPr>
                          <w:rFonts w:asciiTheme="minorHAnsi" w:hAnsiTheme="minorHAnsi" w:cstheme="minorHAnsi"/>
                          <w:bCs/>
                          <w:sz w:val="22"/>
                          <w:szCs w:val="22"/>
                        </w:rPr>
                        <w:t xml:space="preserve"> the </w:t>
                      </w:r>
                      <w:r w:rsidR="007770DE">
                        <w:rPr>
                          <w:rFonts w:asciiTheme="minorHAnsi" w:hAnsiTheme="minorHAnsi" w:cstheme="minorHAnsi"/>
                          <w:bCs/>
                          <w:sz w:val="22"/>
                          <w:szCs w:val="22"/>
                        </w:rPr>
                        <w:t>exp</w:t>
                      </w:r>
                      <w:r w:rsidR="00CA2D8B">
                        <w:rPr>
                          <w:rFonts w:asciiTheme="minorHAnsi" w:hAnsiTheme="minorHAnsi" w:cstheme="minorHAnsi"/>
                          <w:bCs/>
                          <w:sz w:val="22"/>
                          <w:szCs w:val="22"/>
                        </w:rPr>
                        <w:t xml:space="preserve">ected </w:t>
                      </w:r>
                      <w:r w:rsidRPr="00637A7A">
                        <w:rPr>
                          <w:rFonts w:asciiTheme="minorHAnsi" w:hAnsiTheme="minorHAnsi" w:cstheme="minorHAnsi"/>
                          <w:bCs/>
                          <w:sz w:val="22"/>
                          <w:szCs w:val="22"/>
                        </w:rPr>
                        <w:t>synergies to be shared between both OTC ISIN users and UPI users</w:t>
                      </w:r>
                      <w:r w:rsidR="006E239F">
                        <w:rPr>
                          <w:rFonts w:asciiTheme="minorHAnsi" w:hAnsiTheme="minorHAnsi" w:cstheme="minorHAnsi"/>
                          <w:bCs/>
                          <w:sz w:val="22"/>
                          <w:szCs w:val="22"/>
                        </w:rPr>
                        <w:t>. T</w:t>
                      </w:r>
                      <w:r w:rsidR="00AF62C0">
                        <w:rPr>
                          <w:rFonts w:asciiTheme="minorHAnsi" w:hAnsiTheme="minorHAnsi" w:cstheme="minorHAnsi"/>
                          <w:bCs/>
                          <w:sz w:val="22"/>
                          <w:szCs w:val="22"/>
                        </w:rPr>
                        <w:t xml:space="preserve">he shared costs will be apportioned </w:t>
                      </w:r>
                      <w:r w:rsidRPr="00637A7A">
                        <w:rPr>
                          <w:rFonts w:asciiTheme="minorHAnsi" w:hAnsiTheme="minorHAnsi" w:cstheme="minorHAnsi"/>
                          <w:bCs/>
                          <w:sz w:val="22"/>
                          <w:szCs w:val="22"/>
                        </w:rPr>
                        <w:t>via an allocation policy that the DSB will propose and consult with stakeholders</w:t>
                      </w:r>
                      <w:r w:rsidRPr="00637A7A" w:rsidDel="00586DE6">
                        <w:rPr>
                          <w:rFonts w:asciiTheme="minorHAnsi" w:hAnsiTheme="minorHAnsi" w:cstheme="minorHAnsi"/>
                          <w:bCs/>
                          <w:sz w:val="22"/>
                          <w:szCs w:val="22"/>
                        </w:rPr>
                        <w:t xml:space="preserve"> </w:t>
                      </w:r>
                      <w:r w:rsidRPr="00637A7A">
                        <w:rPr>
                          <w:rFonts w:asciiTheme="minorHAnsi" w:hAnsiTheme="minorHAnsi" w:cstheme="minorHAnsi"/>
                          <w:bCs/>
                          <w:sz w:val="22"/>
                          <w:szCs w:val="22"/>
                        </w:rPr>
                        <w:t>in 2023</w:t>
                      </w:r>
                      <w:r w:rsidR="00BC337A">
                        <w:rPr>
                          <w:rFonts w:asciiTheme="minorHAnsi" w:hAnsiTheme="minorHAnsi" w:cstheme="minorHAnsi"/>
                          <w:bCs/>
                          <w:sz w:val="22"/>
                          <w:szCs w:val="22"/>
                        </w:rPr>
                        <w:t>.</w:t>
                      </w:r>
                    </w:p>
                    <w:p w:rsidRPr="00957138" w:rsidR="00CC42A6" w:rsidP="00714CCE" w:rsidRDefault="00CC42A6" w14:paraId="3DAA1FAD" w14:textId="3B5FCC42">
                      <w:pPr>
                        <w:spacing w:before="240"/>
                        <w:jc w:val="both"/>
                        <w:rPr>
                          <w:rFonts w:cstheme="minorHAnsi"/>
                          <w:b/>
                          <w:i/>
                        </w:rPr>
                      </w:pPr>
                      <w:r w:rsidRPr="00957138">
                        <w:rPr>
                          <w:rFonts w:cstheme="minorHAnsi"/>
                          <w:b/>
                          <w:i/>
                        </w:rPr>
                        <w:t xml:space="preserve">Question </w:t>
                      </w:r>
                      <w:r w:rsidR="00DD5BC8">
                        <w:rPr>
                          <w:rFonts w:cstheme="minorHAnsi"/>
                          <w:b/>
                          <w:i/>
                        </w:rPr>
                        <w:t>6</w:t>
                      </w:r>
                      <w:r w:rsidRPr="00957138">
                        <w:rPr>
                          <w:rFonts w:cstheme="minorHAnsi"/>
                          <w:b/>
                          <w:i/>
                        </w:rPr>
                        <w:t>a: Do you concur with this approach</w:t>
                      </w:r>
                      <w:r w:rsidR="009C737F">
                        <w:rPr>
                          <w:rFonts w:cstheme="minorHAnsi"/>
                          <w:b/>
                          <w:i/>
                        </w:rPr>
                        <w:t xml:space="preserve"> to the </w:t>
                      </w:r>
                      <w:r w:rsidR="00555DA6">
                        <w:rPr>
                          <w:rFonts w:cstheme="minorHAnsi"/>
                          <w:b/>
                          <w:i/>
                        </w:rPr>
                        <w:t>cost allocation policy</w:t>
                      </w:r>
                      <w:r w:rsidRPr="00957138">
                        <w:rPr>
                          <w:rFonts w:cstheme="minorHAnsi"/>
                          <w:b/>
                          <w:i/>
                        </w:rPr>
                        <w:t xml:space="preserve">? </w:t>
                      </w:r>
                    </w:p>
                    <w:p w:rsidRPr="00957138" w:rsidR="00244FE0" w:rsidP="001456B9" w:rsidRDefault="00CC42A6" w14:paraId="36B99D0A" w14:textId="5D5E8376">
                      <w:pPr>
                        <w:spacing w:before="240"/>
                        <w:jc w:val="both"/>
                        <w:rPr>
                          <w:b/>
                          <w:i/>
                          <w:color w:val="FF0000"/>
                          <w:lang w:eastAsia="ja-JP"/>
                        </w:rPr>
                      </w:pPr>
                      <w:r w:rsidRPr="00957138">
                        <w:rPr>
                          <w:rFonts w:cstheme="minorHAnsi"/>
                          <w:b/>
                          <w:i/>
                        </w:rPr>
                        <w:t>Question</w:t>
                      </w:r>
                      <w:r w:rsidR="00DD5BC8">
                        <w:rPr>
                          <w:rFonts w:cstheme="minorHAnsi"/>
                          <w:b/>
                          <w:i/>
                        </w:rPr>
                        <w:t xml:space="preserve"> 6</w:t>
                      </w:r>
                      <w:r w:rsidRPr="00957138">
                        <w:rPr>
                          <w:rFonts w:cstheme="minorHAnsi"/>
                          <w:b/>
                          <w:i/>
                        </w:rPr>
                        <w:t xml:space="preserve">b: If not, what specific alternate approach do you recommend? Please provide a clear rationale and any additional </w:t>
                      </w:r>
                      <w:r w:rsidRPr="00957138" w:rsidR="00B740A3">
                        <w:rPr>
                          <w:rFonts w:cstheme="minorHAnsi"/>
                          <w:b/>
                          <w:i/>
                        </w:rPr>
                        <w:t>details</w:t>
                      </w:r>
                      <w:r w:rsidRPr="00957138">
                        <w:rPr>
                          <w:rFonts w:cstheme="minorHAnsi"/>
                          <w:b/>
                          <w:i/>
                        </w:rPr>
                        <w:t xml:space="preserve"> you believe should be incorporated into the DSB’s </w:t>
                      </w:r>
                      <w:r w:rsidRPr="00957138" w:rsidR="00B740A3">
                        <w:rPr>
                          <w:rFonts w:cstheme="minorHAnsi"/>
                          <w:b/>
                          <w:i/>
                        </w:rPr>
                        <w:t>approach</w:t>
                      </w:r>
                      <w:r w:rsidRPr="00957138">
                        <w:rPr>
                          <w:rFonts w:cstheme="minorHAnsi"/>
                          <w:b/>
                          <w:i/>
                        </w:rPr>
                        <w:t>.</w:t>
                      </w:r>
                    </w:p>
                  </w:txbxContent>
                </v:textbox>
                <w10:wrap type="square" anchorx="margin"/>
              </v:shape>
            </w:pict>
          </mc:Fallback>
        </mc:AlternateContent>
      </w:r>
      <w:bookmarkStart w:name="_Toc69802000" w:id="532"/>
      <w:r w:rsidRPr="00927571" w:rsidR="00F73E49">
        <w:t>UPI – OTC ISIN cost allocation policy</w:t>
      </w:r>
      <w:bookmarkEnd w:id="531"/>
      <w:bookmarkEnd w:id="532"/>
    </w:p>
    <w:p w:rsidR="00012DA5" w:rsidP="00232460" w:rsidRDefault="00012DA5" w14:paraId="00E1CCD0" w14:textId="0CB190EC">
      <w:pPr>
        <w:spacing w:before="240"/>
        <w:rPr>
          <w:u w:val="single"/>
        </w:rPr>
      </w:pPr>
      <w:r>
        <w:rPr>
          <w:u w:val="single"/>
        </w:rPr>
        <w:t>Summary of Responses</w:t>
      </w:r>
      <w:r w:rsidRPr="008E271F">
        <w:rPr>
          <w:u w:val="single"/>
        </w:rPr>
        <w:t>:</w:t>
      </w:r>
    </w:p>
    <w:p w:rsidR="00012DA5" w:rsidP="00012DA5" w:rsidRDefault="00012DA5" w14:paraId="717B0B4C" w14:textId="2D1DBC84">
      <w:pPr>
        <w:spacing w:before="240"/>
        <w:jc w:val="both"/>
      </w:pPr>
      <w:r>
        <w:t xml:space="preserve">In the DSB UPI Fee Model Consultation Paper 1, the </w:t>
      </w:r>
      <w:r w:rsidRPr="00E965D0">
        <w:t>DSB sought industry’s views on the proposed cost allocation policy (across the UPI and OTC ISIN/CFI business lines) for the DSB’s costs.</w:t>
      </w:r>
    </w:p>
    <w:p w:rsidRPr="00E965D0" w:rsidR="00012DA5" w:rsidP="001456B9" w:rsidRDefault="00012DA5" w14:paraId="186D443F" w14:textId="68D5D0B8">
      <w:pPr>
        <w:spacing w:before="240"/>
        <w:jc w:val="both"/>
      </w:pPr>
      <w:r>
        <w:t xml:space="preserve">At that stage, the DSB’s expectation was that </w:t>
      </w:r>
      <w:r>
        <w:rPr>
          <w:rStyle w:val="normaltextrun"/>
          <w:rFonts w:cstheme="minorHAnsi"/>
          <w:color w:val="000000"/>
        </w:rPr>
        <w:t xml:space="preserve">the UPI platform would be similar to the </w:t>
      </w:r>
      <w:r w:rsidRPr="00E965D0">
        <w:t>OTC ISIN/CF</w:t>
      </w:r>
      <w:r>
        <w:t xml:space="preserve">I platform in terms of the onboarding process and operating model. </w:t>
      </w:r>
      <w:r w:rsidRPr="00637A7A">
        <w:rPr>
          <w:rStyle w:val="normaltextrun"/>
          <w:rFonts w:cstheme="minorHAnsi"/>
          <w:color w:val="000000"/>
        </w:rPr>
        <w:t xml:space="preserve"> </w:t>
      </w:r>
      <w:r>
        <w:rPr>
          <w:rStyle w:val="normaltextrun"/>
          <w:rFonts w:cstheme="minorHAnsi"/>
          <w:color w:val="000000"/>
        </w:rPr>
        <w:t>As such, the</w:t>
      </w:r>
      <w:r w:rsidRPr="00637A7A">
        <w:rPr>
          <w:rStyle w:val="normaltextrun"/>
          <w:rFonts w:cstheme="minorHAnsi"/>
          <w:color w:val="000000"/>
        </w:rPr>
        <w:t xml:space="preserve"> DSB </w:t>
      </w:r>
      <w:r>
        <w:rPr>
          <w:rStyle w:val="normaltextrun"/>
          <w:rFonts w:cstheme="minorHAnsi"/>
          <w:color w:val="000000"/>
        </w:rPr>
        <w:t>planned to</w:t>
      </w:r>
      <w:r w:rsidRPr="00637A7A">
        <w:rPr>
          <w:rStyle w:val="normaltextrun"/>
          <w:rFonts w:cstheme="minorHAnsi"/>
          <w:color w:val="000000"/>
        </w:rPr>
        <w:t xml:space="preserve"> re-use its existing staff, systems and processes wherever appropriate</w:t>
      </w:r>
      <w:r>
        <w:rPr>
          <w:rStyle w:val="normaltextrun"/>
          <w:rFonts w:cstheme="minorHAnsi"/>
          <w:color w:val="000000"/>
        </w:rPr>
        <w:t xml:space="preserve">, </w:t>
      </w:r>
      <w:r w:rsidRPr="00637A7A">
        <w:rPr>
          <w:rStyle w:val="normaltextrun"/>
          <w:rFonts w:cstheme="minorHAnsi"/>
          <w:color w:val="000000"/>
        </w:rPr>
        <w:t>result</w:t>
      </w:r>
      <w:r>
        <w:rPr>
          <w:rStyle w:val="normaltextrun"/>
          <w:rFonts w:cstheme="minorHAnsi"/>
          <w:color w:val="000000"/>
        </w:rPr>
        <w:t>ing</w:t>
      </w:r>
      <w:r w:rsidRPr="00637A7A">
        <w:rPr>
          <w:rStyle w:val="normaltextrun"/>
          <w:rFonts w:cstheme="minorHAnsi"/>
          <w:color w:val="000000"/>
        </w:rPr>
        <w:t xml:space="preserve"> in shared costs between the DSB’s existing services and UPI services</w:t>
      </w:r>
      <w:r>
        <w:rPr>
          <w:rStyle w:val="normaltextrun"/>
          <w:rFonts w:cstheme="minorHAnsi"/>
          <w:color w:val="000000"/>
        </w:rPr>
        <w:t xml:space="preserve">, and thereby requiring </w:t>
      </w:r>
      <w:r w:rsidRPr="00637A7A">
        <w:rPr>
          <w:rStyle w:val="normaltextrun"/>
          <w:rFonts w:cstheme="minorHAnsi"/>
          <w:color w:val="000000"/>
        </w:rPr>
        <w:t>a policy for allocating such shared costs fairly across the services.</w:t>
      </w:r>
      <w:r>
        <w:rPr>
          <w:rStyle w:val="normaltextrun"/>
          <w:rFonts w:cstheme="minorHAnsi"/>
          <w:color w:val="000000"/>
        </w:rPr>
        <w:t xml:space="preserve"> </w:t>
      </w:r>
      <w:r w:rsidRPr="00E965D0">
        <w:t>17% of respondents concurred with the DSB’s proposal</w:t>
      </w:r>
      <w:r>
        <w:t>,</w:t>
      </w:r>
      <w:r w:rsidRPr="00E965D0">
        <w:t xml:space="preserve"> with one citing an expectation that shared costs would reduce by 2023 for users of all DSB services.</w:t>
      </w:r>
      <w:r>
        <w:t xml:space="preserve"> </w:t>
      </w:r>
      <w:r w:rsidRPr="00E965D0">
        <w:t>A further 25% of respondents di</w:t>
      </w:r>
      <w:r>
        <w:t xml:space="preserve">sagreed </w:t>
      </w:r>
      <w:r w:rsidRPr="00E965D0">
        <w:t xml:space="preserve">with the DSB’s proposal and noted that they required additional transparency into the cost drivers of the UPI service vis-à-vis the existing OTC ISIN service. 58% of respondents remained silent on the topic. </w:t>
      </w:r>
    </w:p>
    <w:p w:rsidR="00012DA5" w:rsidP="001456B9" w:rsidRDefault="00012DA5" w14:paraId="32DFD79D" w14:textId="77777777">
      <w:pPr>
        <w:spacing w:before="240"/>
        <w:jc w:val="both"/>
        <w:rPr>
          <w:u w:val="single"/>
        </w:rPr>
      </w:pPr>
      <w:r>
        <w:rPr>
          <w:u w:val="single"/>
        </w:rPr>
        <w:t xml:space="preserve">DSB Proposal </w:t>
      </w:r>
    </w:p>
    <w:p w:rsidR="00012DA5" w:rsidP="001456B9" w:rsidRDefault="00012DA5" w14:paraId="505F7AC0" w14:textId="77777777">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Given the high volume of forecast demand for the UPI service as outlined in section 4.1, a dedicated onboarding platform and operating model has been scoped and costed to allow the DSB to provide a scalable service provision. </w:t>
      </w:r>
    </w:p>
    <w:p w:rsidR="00012DA5" w:rsidP="001456B9" w:rsidRDefault="00012DA5" w14:paraId="79F4F3FC" w14:textId="5C2FB41E">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The</w:t>
      </w:r>
      <w:r w:rsidRPr="007177C1">
        <w:rPr>
          <w:rFonts w:asciiTheme="minorHAnsi" w:hAnsiTheme="minorHAnsi" w:cstheme="minorHAnsi"/>
          <w:sz w:val="22"/>
          <w:szCs w:val="22"/>
        </w:rPr>
        <w:t xml:space="preserve"> service</w:t>
      </w:r>
      <w:r>
        <w:rPr>
          <w:rFonts w:asciiTheme="minorHAnsi" w:hAnsiTheme="minorHAnsi" w:cstheme="minorHAnsi"/>
          <w:sz w:val="22"/>
          <w:szCs w:val="22"/>
        </w:rPr>
        <w:t xml:space="preserve"> is </w:t>
      </w:r>
      <w:r w:rsidRPr="00876134">
        <w:rPr>
          <w:rFonts w:asciiTheme="minorHAnsi" w:hAnsiTheme="minorHAnsi" w:cstheme="minorHAnsi"/>
          <w:sz w:val="22"/>
          <w:szCs w:val="22"/>
        </w:rPr>
        <w:t xml:space="preserve">designed and built </w:t>
      </w:r>
      <w:r w:rsidR="00F132E4">
        <w:rPr>
          <w:rFonts w:asciiTheme="minorHAnsi" w:hAnsiTheme="minorHAnsi" w:cstheme="minorHAnsi"/>
          <w:sz w:val="22"/>
          <w:szCs w:val="22"/>
        </w:rPr>
        <w:t>t</w:t>
      </w:r>
      <w:r w:rsidR="00270A56">
        <w:rPr>
          <w:rFonts w:asciiTheme="minorHAnsi" w:hAnsiTheme="minorHAnsi" w:cstheme="minorHAnsi"/>
          <w:sz w:val="22"/>
          <w:szCs w:val="22"/>
        </w:rPr>
        <w:t>o</w:t>
      </w:r>
      <w:r w:rsidR="00F132E4">
        <w:rPr>
          <w:rFonts w:asciiTheme="minorHAnsi" w:hAnsiTheme="minorHAnsi" w:cstheme="minorHAnsi"/>
          <w:sz w:val="22"/>
          <w:szCs w:val="22"/>
        </w:rPr>
        <w:t xml:space="preserve"> significantly </w:t>
      </w:r>
      <w:r w:rsidR="00270A56">
        <w:rPr>
          <w:rFonts w:asciiTheme="minorHAnsi" w:hAnsiTheme="minorHAnsi" w:cstheme="minorHAnsi"/>
          <w:sz w:val="22"/>
          <w:szCs w:val="22"/>
        </w:rPr>
        <w:t>reduce</w:t>
      </w:r>
      <w:r w:rsidRPr="00876134">
        <w:rPr>
          <w:rFonts w:asciiTheme="minorHAnsi" w:hAnsiTheme="minorHAnsi" w:cstheme="minorHAnsi"/>
          <w:sz w:val="22"/>
          <w:szCs w:val="22"/>
        </w:rPr>
        <w:t xml:space="preserve"> manual processes</w:t>
      </w:r>
      <w:r>
        <w:rPr>
          <w:rFonts w:asciiTheme="minorHAnsi" w:hAnsiTheme="minorHAnsi" w:cstheme="minorHAnsi"/>
          <w:sz w:val="22"/>
          <w:szCs w:val="22"/>
        </w:rPr>
        <w:t>, allowing it</w:t>
      </w:r>
      <w:r w:rsidRPr="00876134">
        <w:rPr>
          <w:rFonts w:asciiTheme="minorHAnsi" w:hAnsiTheme="minorHAnsi" w:cstheme="minorHAnsi"/>
          <w:sz w:val="22"/>
          <w:szCs w:val="22"/>
        </w:rPr>
        <w:t xml:space="preserve"> </w:t>
      </w:r>
      <w:r w:rsidRPr="007177C1">
        <w:rPr>
          <w:rFonts w:asciiTheme="minorHAnsi" w:hAnsiTheme="minorHAnsi" w:cstheme="minorHAnsi"/>
          <w:sz w:val="22"/>
          <w:szCs w:val="22"/>
        </w:rPr>
        <w:t xml:space="preserve">to handle increasingly large numbers of users without needing to add corresponding numbers of staff to resource the processes. </w:t>
      </w:r>
      <w:r>
        <w:rPr>
          <w:rFonts w:asciiTheme="minorHAnsi" w:hAnsiTheme="minorHAnsi" w:cstheme="minorHAnsi"/>
          <w:sz w:val="22"/>
          <w:szCs w:val="22"/>
        </w:rPr>
        <w:t xml:space="preserve">The costs outlined in section </w:t>
      </w:r>
      <w:r w:rsidR="00EF5DC6">
        <w:rPr>
          <w:rFonts w:asciiTheme="minorHAnsi" w:hAnsiTheme="minorHAnsi" w:cstheme="minorHAnsi"/>
          <w:sz w:val="22"/>
          <w:szCs w:val="22"/>
        </w:rPr>
        <w:t>4.6</w:t>
      </w:r>
      <w:r>
        <w:rPr>
          <w:rFonts w:asciiTheme="minorHAnsi" w:hAnsiTheme="minorHAnsi" w:cstheme="minorHAnsi"/>
          <w:sz w:val="22"/>
          <w:szCs w:val="22"/>
        </w:rPr>
        <w:t xml:space="preserve"> relate solely to the UPI service. </w:t>
      </w:r>
    </w:p>
    <w:p w:rsidRPr="008C726A" w:rsidR="00012DA5" w:rsidP="001456B9" w:rsidRDefault="00012DA5" w14:paraId="4540FB64" w14:textId="43620040">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Once the</w:t>
      </w:r>
      <w:r w:rsidRPr="0088659D">
        <w:rPr>
          <w:rFonts w:asciiTheme="minorHAnsi" w:hAnsiTheme="minorHAnsi" w:cstheme="minorHAnsi"/>
          <w:sz w:val="22"/>
          <w:szCs w:val="22"/>
        </w:rPr>
        <w:t xml:space="preserve"> UPI service is live, </w:t>
      </w:r>
      <w:r>
        <w:rPr>
          <w:rFonts w:asciiTheme="minorHAnsi" w:hAnsiTheme="minorHAnsi" w:cstheme="minorHAnsi"/>
          <w:sz w:val="22"/>
          <w:szCs w:val="22"/>
        </w:rPr>
        <w:t xml:space="preserve">there will be analysis conducted on the </w:t>
      </w:r>
      <w:r w:rsidR="000D4762">
        <w:rPr>
          <w:rFonts w:asciiTheme="minorHAnsi" w:hAnsiTheme="minorHAnsi" w:cstheme="minorHAnsi"/>
          <w:sz w:val="22"/>
          <w:szCs w:val="22"/>
        </w:rPr>
        <w:t>expected</w:t>
      </w:r>
      <w:r>
        <w:rPr>
          <w:rFonts w:asciiTheme="minorHAnsi" w:hAnsiTheme="minorHAnsi" w:cstheme="minorHAnsi"/>
          <w:sz w:val="22"/>
          <w:szCs w:val="22"/>
        </w:rPr>
        <w:t xml:space="preserve"> scope for synergies and shared costs between the UPI service and the </w:t>
      </w:r>
      <w:r w:rsidRPr="00856881">
        <w:rPr>
          <w:rFonts w:asciiTheme="minorHAnsi" w:hAnsiTheme="minorHAnsi" w:cstheme="minorHAnsi"/>
          <w:sz w:val="22"/>
          <w:szCs w:val="22"/>
        </w:rPr>
        <w:t>OTC ISIN service</w:t>
      </w:r>
      <w:r>
        <w:rPr>
          <w:rFonts w:asciiTheme="minorHAnsi" w:hAnsiTheme="minorHAnsi" w:cstheme="minorHAnsi"/>
          <w:sz w:val="22"/>
          <w:szCs w:val="22"/>
        </w:rPr>
        <w:t xml:space="preserve">, and what an appropriate cost allocation policy would be. </w:t>
      </w:r>
    </w:p>
    <w:p w:rsidRPr="008E271F" w:rsidR="00763758" w:rsidP="001456B9" w:rsidRDefault="00763758" w14:paraId="4EDF13A2" w14:textId="60314940">
      <w:pPr>
        <w:pStyle w:val="NormalWeb"/>
        <w:shd w:val="clear" w:color="auto" w:fill="FFFFFF" w:themeFill="background1"/>
        <w:spacing w:before="0" w:beforeAutospacing="0" w:after="120" w:afterAutospacing="0" w:line="276" w:lineRule="auto"/>
        <w:jc w:val="both"/>
        <w:textAlignment w:val="baseline"/>
        <w:rPr>
          <w:rStyle w:val="normaltextrun"/>
          <w:rFonts w:asciiTheme="minorHAnsi" w:hAnsiTheme="minorHAnsi" w:cstheme="minorHAnsi"/>
          <w:sz w:val="22"/>
          <w:szCs w:val="22"/>
        </w:rPr>
      </w:pPr>
      <w:r w:rsidRPr="008E271F">
        <w:rPr>
          <w:rFonts w:asciiTheme="minorHAnsi" w:hAnsiTheme="minorHAnsi" w:cstheme="minorHAnsi"/>
          <w:bCs/>
          <w:sz w:val="22"/>
          <w:szCs w:val="22"/>
        </w:rPr>
        <w:t>The DSB proposes to phase in a gradual increase in costs allocated to the UPI user base from 2022 to 2024 as described below</w:t>
      </w:r>
      <w:r w:rsidR="00344125">
        <w:rPr>
          <w:rFonts w:asciiTheme="minorHAnsi" w:hAnsiTheme="minorHAnsi" w:cstheme="minorHAnsi"/>
          <w:bCs/>
          <w:sz w:val="22"/>
          <w:szCs w:val="22"/>
        </w:rPr>
        <w:t>:</w:t>
      </w:r>
    </w:p>
    <w:p w:rsidRPr="008E271F" w:rsidR="00763758" w:rsidP="00A62979" w:rsidRDefault="00763758" w14:paraId="5F010717" w14:textId="77777777">
      <w:pPr>
        <w:spacing w:after="120"/>
        <w:ind w:firstLine="284"/>
        <w:jc w:val="both"/>
        <w:rPr>
          <w:u w:val="single"/>
        </w:rPr>
      </w:pPr>
      <w:r w:rsidRPr="008E271F">
        <w:rPr>
          <w:u w:val="single"/>
        </w:rPr>
        <w:t>2022 Q3-Q4</w:t>
      </w:r>
    </w:p>
    <w:p w:rsidRPr="008E271F" w:rsidR="00763758" w:rsidP="001456B9" w:rsidRDefault="00763758" w14:paraId="4579E402" w14:textId="77777777">
      <w:pPr>
        <w:pStyle w:val="ListParagraph"/>
        <w:numPr>
          <w:ilvl w:val="0"/>
          <w:numId w:val="13"/>
        </w:numPr>
        <w:spacing w:after="0" w:line="276" w:lineRule="auto"/>
        <w:ind w:left="851"/>
        <w:contextualSpacing w:val="0"/>
        <w:jc w:val="both"/>
        <w:rPr>
          <w:rFonts w:eastAsia="Times New Roman"/>
        </w:rPr>
      </w:pPr>
      <w:r w:rsidRPr="008E271F">
        <w:rPr>
          <w:rFonts w:eastAsia="Times New Roman"/>
        </w:rPr>
        <w:t xml:space="preserve">UPI users only pay the DSB’s incremental operating expenditure cost uplift </w:t>
      </w:r>
    </w:p>
    <w:p w:rsidRPr="008E271F" w:rsidR="00763758" w:rsidP="001456B9" w:rsidRDefault="00763758" w14:paraId="702CF4B8" w14:textId="77777777">
      <w:pPr>
        <w:pStyle w:val="ListParagraph"/>
        <w:numPr>
          <w:ilvl w:val="0"/>
          <w:numId w:val="13"/>
        </w:numPr>
        <w:spacing w:after="0" w:line="276" w:lineRule="auto"/>
        <w:ind w:left="851"/>
        <w:contextualSpacing w:val="0"/>
        <w:jc w:val="both"/>
        <w:rPr>
          <w:rFonts w:eastAsia="Times New Roman"/>
        </w:rPr>
      </w:pPr>
      <w:r w:rsidRPr="008E271F">
        <w:rPr>
          <w:rFonts w:eastAsia="Times New Roman"/>
        </w:rPr>
        <w:t xml:space="preserve">No allocation of UPI build costs in 2022 (working capital is provided by DSB shareholders) </w:t>
      </w:r>
    </w:p>
    <w:p w:rsidRPr="008E271F" w:rsidR="00763758" w:rsidP="001456B9" w:rsidRDefault="00763758" w14:paraId="07B52870" w14:textId="77777777">
      <w:pPr>
        <w:pStyle w:val="ListParagraph"/>
        <w:numPr>
          <w:ilvl w:val="0"/>
          <w:numId w:val="13"/>
        </w:numPr>
        <w:spacing w:after="240" w:line="276" w:lineRule="auto"/>
        <w:ind w:left="850" w:hanging="357"/>
        <w:contextualSpacing w:val="0"/>
        <w:jc w:val="both"/>
        <w:rPr>
          <w:rFonts w:eastAsia="Times New Roman"/>
        </w:rPr>
      </w:pPr>
      <w:r w:rsidRPr="008E271F">
        <w:rPr>
          <w:rFonts w:eastAsia="Times New Roman"/>
        </w:rPr>
        <w:t>No allocation of DSB shared costs to UPI users</w:t>
      </w:r>
    </w:p>
    <w:p w:rsidRPr="008E271F" w:rsidR="00763758" w:rsidP="00A62979" w:rsidRDefault="00763758" w14:paraId="4BDD1240" w14:textId="77777777">
      <w:pPr>
        <w:spacing w:after="120"/>
        <w:ind w:firstLine="284"/>
        <w:jc w:val="both"/>
        <w:rPr>
          <w:u w:val="single"/>
        </w:rPr>
      </w:pPr>
      <w:r w:rsidRPr="008E271F">
        <w:rPr>
          <w:u w:val="single"/>
        </w:rPr>
        <w:t>2023</w:t>
      </w:r>
    </w:p>
    <w:p w:rsidRPr="008E271F" w:rsidR="00763758" w:rsidP="001456B9" w:rsidRDefault="00763758" w14:paraId="7B11F89D" w14:textId="77777777">
      <w:pPr>
        <w:pStyle w:val="ListParagraph"/>
        <w:numPr>
          <w:ilvl w:val="0"/>
          <w:numId w:val="13"/>
        </w:numPr>
        <w:spacing w:after="0" w:line="276" w:lineRule="auto"/>
        <w:ind w:left="851"/>
        <w:contextualSpacing w:val="0"/>
        <w:jc w:val="both"/>
        <w:rPr>
          <w:rFonts w:eastAsia="Times New Roman"/>
        </w:rPr>
      </w:pPr>
      <w:r w:rsidRPr="008E271F">
        <w:rPr>
          <w:rFonts w:eastAsia="Times New Roman"/>
        </w:rPr>
        <w:t xml:space="preserve">UPI users only pay the DSB’s incremental operating expenditure cost uplift </w:t>
      </w:r>
    </w:p>
    <w:p w:rsidRPr="008E271F" w:rsidR="00763758" w:rsidP="001456B9" w:rsidRDefault="00763758" w14:paraId="7B7B974B" w14:textId="77777777">
      <w:pPr>
        <w:pStyle w:val="ListParagraph"/>
        <w:numPr>
          <w:ilvl w:val="0"/>
          <w:numId w:val="13"/>
        </w:numPr>
        <w:spacing w:after="0" w:line="276" w:lineRule="auto"/>
        <w:ind w:left="851"/>
        <w:contextualSpacing w:val="0"/>
        <w:jc w:val="both"/>
        <w:rPr>
          <w:rFonts w:eastAsia="Times New Roman"/>
        </w:rPr>
      </w:pPr>
      <w:r w:rsidRPr="008E271F">
        <w:rPr>
          <w:rFonts w:eastAsia="Times New Roman"/>
        </w:rPr>
        <w:t>Plus the amortisation of UPI capex as per DSB capital expenditure rules</w:t>
      </w:r>
      <w:r>
        <w:rPr>
          <w:rStyle w:val="FootnoteReference"/>
          <w:rFonts w:eastAsia="Times New Roman"/>
        </w:rPr>
        <w:footnoteReference w:id="19"/>
      </w:r>
    </w:p>
    <w:p w:rsidRPr="008E271F" w:rsidR="00763758" w:rsidP="001456B9" w:rsidRDefault="00763758" w14:paraId="4F68069D" w14:textId="77777777">
      <w:pPr>
        <w:pStyle w:val="ListParagraph"/>
        <w:numPr>
          <w:ilvl w:val="0"/>
          <w:numId w:val="13"/>
        </w:numPr>
        <w:spacing w:after="240" w:line="276" w:lineRule="auto"/>
        <w:ind w:left="850" w:hanging="357"/>
        <w:contextualSpacing w:val="0"/>
        <w:jc w:val="both"/>
        <w:rPr>
          <w:rFonts w:eastAsia="Times New Roman"/>
        </w:rPr>
      </w:pPr>
      <w:r w:rsidRPr="008E271F">
        <w:rPr>
          <w:rFonts w:eastAsia="Times New Roman"/>
        </w:rPr>
        <w:t>No allocation of DSB shared costs to UPI users</w:t>
      </w:r>
    </w:p>
    <w:p w:rsidRPr="008E271F" w:rsidR="00763758" w:rsidP="00A62979" w:rsidRDefault="00763758" w14:paraId="64D2A44D" w14:textId="77777777">
      <w:pPr>
        <w:spacing w:after="120"/>
        <w:ind w:firstLine="284"/>
        <w:jc w:val="both"/>
        <w:rPr>
          <w:u w:val="single"/>
        </w:rPr>
      </w:pPr>
      <w:r w:rsidRPr="008E271F">
        <w:rPr>
          <w:u w:val="single"/>
        </w:rPr>
        <w:t>2024</w:t>
      </w:r>
    </w:p>
    <w:p w:rsidRPr="008E271F" w:rsidR="00763758" w:rsidP="001456B9" w:rsidRDefault="00763758" w14:paraId="7FF6140E" w14:textId="77777777">
      <w:pPr>
        <w:pStyle w:val="ListParagraph"/>
        <w:numPr>
          <w:ilvl w:val="0"/>
          <w:numId w:val="13"/>
        </w:numPr>
        <w:spacing w:after="0" w:line="276" w:lineRule="auto"/>
        <w:ind w:left="851"/>
        <w:contextualSpacing w:val="0"/>
        <w:jc w:val="both"/>
        <w:rPr>
          <w:rFonts w:eastAsia="Times New Roman"/>
        </w:rPr>
      </w:pPr>
      <w:r w:rsidRPr="008E271F">
        <w:rPr>
          <w:rFonts w:eastAsia="Times New Roman"/>
        </w:rPr>
        <w:t xml:space="preserve">UPI users only pay the DSB’s incremental operating expenditure cost uplift </w:t>
      </w:r>
    </w:p>
    <w:p w:rsidRPr="008E271F" w:rsidR="00763758" w:rsidP="001456B9" w:rsidRDefault="00763758" w14:paraId="1E6C677B" w14:textId="77777777">
      <w:pPr>
        <w:pStyle w:val="ListParagraph"/>
        <w:numPr>
          <w:ilvl w:val="0"/>
          <w:numId w:val="13"/>
        </w:numPr>
        <w:spacing w:after="0" w:line="276" w:lineRule="auto"/>
        <w:ind w:left="851"/>
        <w:contextualSpacing w:val="0"/>
        <w:jc w:val="both"/>
        <w:rPr>
          <w:rFonts w:eastAsia="Times New Roman"/>
        </w:rPr>
      </w:pPr>
      <w:r w:rsidRPr="008E271F">
        <w:rPr>
          <w:rFonts w:eastAsia="Times New Roman"/>
        </w:rPr>
        <w:t>Plus the amortisation of UPI capex as per DSB capital expenditure rules</w:t>
      </w:r>
    </w:p>
    <w:p w:rsidR="00763758" w:rsidP="001456B9" w:rsidRDefault="00763758" w14:paraId="3FCAA00B" w14:textId="25964638">
      <w:pPr>
        <w:pStyle w:val="ListParagraph"/>
        <w:numPr>
          <w:ilvl w:val="0"/>
          <w:numId w:val="13"/>
        </w:numPr>
        <w:spacing w:after="0" w:line="276" w:lineRule="auto"/>
        <w:ind w:left="851"/>
        <w:contextualSpacing w:val="0"/>
        <w:jc w:val="both"/>
        <w:rPr>
          <w:rFonts w:eastAsia="Times New Roman"/>
        </w:rPr>
      </w:pPr>
      <w:r w:rsidRPr="008E271F">
        <w:rPr>
          <w:rFonts w:eastAsia="Times New Roman"/>
        </w:rPr>
        <w:t>Plus a portion of shared costs (</w:t>
      </w:r>
      <w:r>
        <w:rPr>
          <w:rFonts w:eastAsia="Times New Roman"/>
        </w:rPr>
        <w:t xml:space="preserve">shared </w:t>
      </w:r>
      <w:r w:rsidRPr="008E271F">
        <w:rPr>
          <w:rFonts w:eastAsia="Times New Roman"/>
        </w:rPr>
        <w:t xml:space="preserve">cost allocation policy </w:t>
      </w:r>
      <w:r>
        <w:rPr>
          <w:rFonts w:eastAsia="Times New Roman"/>
        </w:rPr>
        <w:t>to be determined</w:t>
      </w:r>
      <w:r w:rsidRPr="008E271F">
        <w:rPr>
          <w:rFonts w:eastAsia="Times New Roman"/>
        </w:rPr>
        <w:t xml:space="preserve"> based on Industry Consultation to occur in 2023)</w:t>
      </w:r>
      <w:r w:rsidR="0073347C">
        <w:rPr>
          <w:rFonts w:eastAsia="Times New Roman"/>
        </w:rPr>
        <w:t>.</w:t>
      </w:r>
    </w:p>
    <w:p w:rsidR="00F73E49" w:rsidP="001456B9" w:rsidRDefault="008F4C25" w14:paraId="48ED514F" w14:textId="38DD9F78">
      <w:pPr>
        <w:pStyle w:val="Heading2"/>
        <w:spacing w:before="0" w:line="276" w:lineRule="auto"/>
        <w:jc w:val="both"/>
      </w:pPr>
      <w:bookmarkStart w:name="_Toc60651792" w:id="533"/>
      <w:bookmarkStart w:name="_Toc69802001" w:id="534"/>
      <w:bookmarkStart w:name="_Toc71369595" w:id="535"/>
      <w:r>
        <w:rPr>
          <w:noProof/>
          <w:lang w:eastAsia="en-GB"/>
        </w:rPr>
        <mc:AlternateContent>
          <mc:Choice Requires="wps">
            <w:drawing>
              <wp:anchor distT="45720" distB="45720" distL="114300" distR="114300" simplePos="0" relativeHeight="251658246" behindDoc="1" locked="0" layoutInCell="1" allowOverlap="1" wp14:anchorId="695D34D2" wp14:editId="32A77E60">
                <wp:simplePos x="0" y="0"/>
                <wp:positionH relativeFrom="margin">
                  <wp:posOffset>-13335</wp:posOffset>
                </wp:positionH>
                <wp:positionV relativeFrom="paragraph">
                  <wp:posOffset>291465</wp:posOffset>
                </wp:positionV>
                <wp:extent cx="5716905" cy="3007995"/>
                <wp:effectExtent l="0" t="0" r="17145" b="20955"/>
                <wp:wrapTight wrapText="bothSides">
                  <wp:wrapPolygon edited="0">
                    <wp:start x="0" y="0"/>
                    <wp:lineTo x="0" y="21614"/>
                    <wp:lineTo x="21593" y="21614"/>
                    <wp:lineTo x="21593"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3007995"/>
                        </a:xfrm>
                        <a:prstGeom prst="rect">
                          <a:avLst/>
                        </a:prstGeom>
                        <a:solidFill>
                          <a:srgbClr val="FFFFFF"/>
                        </a:solidFill>
                        <a:ln w="9525">
                          <a:solidFill>
                            <a:srgbClr val="04AEB9"/>
                          </a:solidFill>
                          <a:miter lim="800000"/>
                          <a:headEnd/>
                          <a:tailEnd/>
                        </a:ln>
                      </wps:spPr>
                      <wps:txbx>
                        <w:txbxContent>
                          <w:p w:rsidR="00185AC3" w:rsidP="00185AC3" w:rsidRDefault="00185AC3" w14:paraId="72426A25" w14:textId="77777777">
                            <w:pPr>
                              <w:rPr>
                                <w:rStyle w:val="normaltextrun"/>
                                <w:rFonts w:ascii="Calibri" w:hAnsi="Calibri" w:cs="Calibri"/>
                                <w:color w:val="000000"/>
                              </w:rPr>
                            </w:pPr>
                            <w:r>
                              <w:rPr>
                                <w:rStyle w:val="normaltextrun"/>
                                <w:rFonts w:ascii="Calibri" w:hAnsi="Calibri" w:cs="Calibri"/>
                                <w:b/>
                                <w:bCs/>
                                <w:color w:val="000000"/>
                              </w:rPr>
                              <w:t>Summary:</w:t>
                            </w:r>
                            <w:r w:rsidDel="0019300D">
                              <w:rPr>
                                <w:rStyle w:val="normaltextrun"/>
                                <w:rFonts w:ascii="Calibri" w:hAnsi="Calibri" w:cs="Calibri"/>
                                <w:b/>
                                <w:color w:val="000000"/>
                              </w:rPr>
                              <w:t xml:space="preserve"> </w:t>
                            </w:r>
                            <w:r>
                              <w:rPr>
                                <w:rStyle w:val="normaltextrun"/>
                                <w:rFonts w:ascii="Calibri" w:hAnsi="Calibri" w:cs="Calibri"/>
                                <w:color w:val="000000"/>
                              </w:rPr>
                              <w:t xml:space="preserve">In order to provide clarity on the commitments and responsibilities of UPI users and the DSB to each other, the DSB expects all UPI creators and API users to sign a common User Agreement. Based on feedback from the DSB’s existing user base, the DSB believes the most appropriate period for the UPI User Agreement is the Gregorian calendar year. </w:t>
                            </w:r>
                          </w:p>
                          <w:p w:rsidRPr="006F6406" w:rsidR="00185AC3" w:rsidP="00185AC3" w:rsidRDefault="00185AC3" w14:paraId="78EEF8A9" w14:textId="63777F5E">
                            <w:pPr>
                              <w:rPr>
                                <w:rStyle w:val="normaltextrun"/>
                                <w:rFonts w:ascii="Calibri" w:hAnsi="Calibri" w:cs="Calibri"/>
                                <w:color w:val="000000"/>
                              </w:rPr>
                            </w:pPr>
                            <w:r>
                              <w:rPr>
                                <w:rStyle w:val="normaltextrun"/>
                                <w:rFonts w:ascii="Calibri" w:hAnsi="Calibri" w:cs="Calibri"/>
                                <w:color w:val="000000"/>
                              </w:rPr>
                              <w:t>The DSB anticipates launching its production UPI service at the end of June 2022. Given the intra-year start to the service, the DSB propose</w:t>
                            </w:r>
                            <w:r w:rsidR="00957282">
                              <w:rPr>
                                <w:rStyle w:val="normaltextrun"/>
                                <w:rFonts w:ascii="Calibri" w:hAnsi="Calibri" w:cs="Calibri"/>
                                <w:color w:val="000000"/>
                              </w:rPr>
                              <w:t>d (in the prior consultation)</w:t>
                            </w:r>
                            <w:r>
                              <w:rPr>
                                <w:rStyle w:val="normaltextrun"/>
                                <w:rFonts w:ascii="Calibri" w:hAnsi="Calibri" w:cs="Calibri"/>
                                <w:color w:val="000000"/>
                              </w:rPr>
                              <w:t xml:space="preserve"> that the duration of the first</w:t>
                            </w:r>
                            <w:r w:rsidR="00957282">
                              <w:rPr>
                                <w:rStyle w:val="normaltextrun"/>
                                <w:rFonts w:ascii="Calibri" w:hAnsi="Calibri" w:cs="Calibri"/>
                                <w:color w:val="000000"/>
                              </w:rPr>
                              <w:t xml:space="preserve"> UPI</w:t>
                            </w:r>
                            <w:r>
                              <w:rPr>
                                <w:rStyle w:val="normaltextrun"/>
                                <w:rFonts w:ascii="Calibri" w:hAnsi="Calibri" w:cs="Calibri"/>
                                <w:color w:val="000000"/>
                              </w:rPr>
                              <w:t xml:space="preserve"> User Agreement to be shorter than the standard 12 months in subsequent years, in order to align all subsequent User Agreements </w:t>
                            </w:r>
                            <w:r w:rsidR="00D17E2E">
                              <w:rPr>
                                <w:rStyle w:val="normaltextrun"/>
                                <w:rFonts w:ascii="Calibri" w:hAnsi="Calibri" w:cs="Calibri"/>
                                <w:color w:val="000000"/>
                              </w:rPr>
                              <w:t xml:space="preserve">(UA) </w:t>
                            </w:r>
                            <w:r>
                              <w:rPr>
                                <w:rStyle w:val="normaltextrun"/>
                                <w:rFonts w:ascii="Calibri" w:hAnsi="Calibri" w:cs="Calibri"/>
                                <w:color w:val="000000"/>
                              </w:rPr>
                              <w:t>with the Gregorian calendar year.</w:t>
                            </w:r>
                            <w:r w:rsidR="00A85E0F">
                              <w:rPr>
                                <w:rStyle w:val="normaltextrun"/>
                                <w:rFonts w:ascii="Calibri" w:hAnsi="Calibri" w:cs="Calibri"/>
                                <w:color w:val="000000"/>
                              </w:rPr>
                              <w:t xml:space="preserve"> This </w:t>
                            </w:r>
                            <w:r w:rsidR="00957282">
                              <w:rPr>
                                <w:rStyle w:val="normaltextrun"/>
                                <w:rFonts w:ascii="Calibri" w:hAnsi="Calibri" w:cs="Calibri"/>
                                <w:color w:val="000000"/>
                              </w:rPr>
                              <w:t xml:space="preserve">is expected to </w:t>
                            </w:r>
                            <w:r w:rsidR="00A85E0F">
                              <w:rPr>
                                <w:rStyle w:val="normaltextrun"/>
                                <w:rFonts w:ascii="Calibri" w:hAnsi="Calibri" w:cs="Calibri"/>
                                <w:color w:val="000000"/>
                              </w:rPr>
                              <w:t>result in a proportional reduction in the initial fee to compensate for the shorter duration.</w:t>
                            </w:r>
                          </w:p>
                          <w:p w:rsidRPr="005318E3" w:rsidR="00CD39FD" w:rsidP="00CD39FD" w:rsidRDefault="00CD39FD" w14:paraId="02C668E7" w14:textId="77777777">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Feedback from industry suggests that industry </w:t>
                            </w:r>
                            <w:r w:rsidR="00156695">
                              <w:rPr>
                                <w:rStyle w:val="normaltextrun"/>
                                <w:rFonts w:ascii="Calibri" w:hAnsi="Calibri" w:cs="Calibri"/>
                                <w:color w:val="000000"/>
                                <w:sz w:val="22"/>
                                <w:szCs w:val="22"/>
                              </w:rPr>
                              <w:t xml:space="preserve">is largely comfortable with the DSB’s proposal, subject to a few refinements, which will be progressed as part of the legal agreement consultation process to follow in Q4 2021. </w:t>
                            </w:r>
                            <w:r>
                              <w:rPr>
                                <w:rStyle w:val="normaltextrun"/>
                                <w:rFonts w:ascii="Calibri" w:hAnsi="Calibri" w:cs="Calibri"/>
                                <w:color w:val="000000"/>
                                <w:sz w:val="22"/>
                                <w:szCs w:val="22"/>
                              </w:rPr>
                              <w:t xml:space="preserve"> </w:t>
                            </w:r>
                          </w:p>
                          <w:p w:rsidR="00185AC3" w:rsidP="00185AC3" w:rsidRDefault="00185AC3" w14:paraId="10B322FD" w14:textId="77777777">
                            <w:pPr>
                              <w:rPr>
                                <w:rStyle w:val="normaltextrun"/>
                                <w:rFonts w:ascii="Calibri" w:hAnsi="Calibri" w:cs="Calibri"/>
                                <w:b/>
                                <w:i/>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1F50F32">
              <v:shape id="Text Box 26" style="position:absolute;left:0;text-align:left;margin-left:-1.05pt;margin-top:22.95pt;width:450.15pt;height:236.85pt;z-index:-251658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3" strokecolor="#04aeb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" w14:anchorId="695D34D2">
                <v:textbox>
                  <w:txbxContent>
                    <w:p w:rsidR="00185AC3" w:rsidP="00185AC3" w:rsidRDefault="00185AC3" w14:paraId="50B8C276" w14:textId="77777777">
                      <w:pPr>
                        <w:rPr>
                          <w:rStyle w:val="normaltextrun"/>
                          <w:rFonts w:ascii="Calibri" w:hAnsi="Calibri" w:cs="Calibri"/>
                          <w:color w:val="000000"/>
                        </w:rPr>
                      </w:pPr>
                      <w:r>
                        <w:rPr>
                          <w:rStyle w:val="normaltextrun"/>
                          <w:rFonts w:ascii="Calibri" w:hAnsi="Calibri" w:cs="Calibri"/>
                          <w:b/>
                          <w:bCs/>
                          <w:color w:val="000000"/>
                        </w:rPr>
                        <w:t>Summary:</w:t>
                      </w:r>
                      <w:r w:rsidDel="0019300D">
                        <w:rPr>
                          <w:rStyle w:val="normaltextrun"/>
                          <w:rFonts w:ascii="Calibri" w:hAnsi="Calibri" w:cs="Calibri"/>
                          <w:b/>
                          <w:color w:val="000000"/>
                        </w:rPr>
                        <w:t xml:space="preserve"> </w:t>
                      </w:r>
                      <w:r>
                        <w:rPr>
                          <w:rStyle w:val="normaltextrun"/>
                          <w:rFonts w:ascii="Calibri" w:hAnsi="Calibri" w:cs="Calibri"/>
                          <w:color w:val="000000"/>
                        </w:rPr>
                        <w:t xml:space="preserve">In order to provide clarity on the commitments and responsibilities of UPI users and the DSB to each other, the DSB expects all UPI creators and API users to sign a common User Agreement. Based on feedback from the DSB’s existing user base, the DSB believes the most appropriate period for the UPI User Agreement is the Gregorian calendar year. </w:t>
                      </w:r>
                    </w:p>
                    <w:p w:rsidRPr="006F6406" w:rsidR="00185AC3" w:rsidP="00185AC3" w:rsidRDefault="00185AC3" w14:paraId="79224396" w14:textId="63777F5E">
                      <w:pPr>
                        <w:rPr>
                          <w:rStyle w:val="normaltextrun"/>
                          <w:rFonts w:ascii="Calibri" w:hAnsi="Calibri" w:cs="Calibri"/>
                          <w:color w:val="000000"/>
                        </w:rPr>
                      </w:pPr>
                      <w:r>
                        <w:rPr>
                          <w:rStyle w:val="normaltextrun"/>
                          <w:rFonts w:ascii="Calibri" w:hAnsi="Calibri" w:cs="Calibri"/>
                          <w:color w:val="000000"/>
                        </w:rPr>
                        <w:t>The DSB anticipates launching its production UPI service at the end of June 2022. Given the intra-year start to the service, the DSB propose</w:t>
                      </w:r>
                      <w:r w:rsidR="00957282">
                        <w:rPr>
                          <w:rStyle w:val="normaltextrun"/>
                          <w:rFonts w:ascii="Calibri" w:hAnsi="Calibri" w:cs="Calibri"/>
                          <w:color w:val="000000"/>
                        </w:rPr>
                        <w:t>d (in the prior consultation)</w:t>
                      </w:r>
                      <w:r>
                        <w:rPr>
                          <w:rStyle w:val="normaltextrun"/>
                          <w:rFonts w:ascii="Calibri" w:hAnsi="Calibri" w:cs="Calibri"/>
                          <w:color w:val="000000"/>
                        </w:rPr>
                        <w:t xml:space="preserve"> that the duration of the first</w:t>
                      </w:r>
                      <w:r w:rsidR="00957282">
                        <w:rPr>
                          <w:rStyle w:val="normaltextrun"/>
                          <w:rFonts w:ascii="Calibri" w:hAnsi="Calibri" w:cs="Calibri"/>
                          <w:color w:val="000000"/>
                        </w:rPr>
                        <w:t xml:space="preserve"> UPI</w:t>
                      </w:r>
                      <w:r>
                        <w:rPr>
                          <w:rStyle w:val="normaltextrun"/>
                          <w:rFonts w:ascii="Calibri" w:hAnsi="Calibri" w:cs="Calibri"/>
                          <w:color w:val="000000"/>
                        </w:rPr>
                        <w:t xml:space="preserve"> User Agreement to be shorter than the standard 12 months in subsequent years, in order to align all subsequent User Agreements </w:t>
                      </w:r>
                      <w:r w:rsidR="00D17E2E">
                        <w:rPr>
                          <w:rStyle w:val="normaltextrun"/>
                          <w:rFonts w:ascii="Calibri" w:hAnsi="Calibri" w:cs="Calibri"/>
                          <w:color w:val="000000"/>
                        </w:rPr>
                        <w:t xml:space="preserve">(UA) </w:t>
                      </w:r>
                      <w:r>
                        <w:rPr>
                          <w:rStyle w:val="normaltextrun"/>
                          <w:rFonts w:ascii="Calibri" w:hAnsi="Calibri" w:cs="Calibri"/>
                          <w:color w:val="000000"/>
                        </w:rPr>
                        <w:t>with the Gregorian calendar year.</w:t>
                      </w:r>
                      <w:r w:rsidR="00A85E0F">
                        <w:rPr>
                          <w:rStyle w:val="normaltextrun"/>
                          <w:rFonts w:ascii="Calibri" w:hAnsi="Calibri" w:cs="Calibri"/>
                          <w:color w:val="000000"/>
                        </w:rPr>
                        <w:t xml:space="preserve"> This </w:t>
                      </w:r>
                      <w:r w:rsidR="00957282">
                        <w:rPr>
                          <w:rStyle w:val="normaltextrun"/>
                          <w:rFonts w:ascii="Calibri" w:hAnsi="Calibri" w:cs="Calibri"/>
                          <w:color w:val="000000"/>
                        </w:rPr>
                        <w:t xml:space="preserve">is expected to </w:t>
                      </w:r>
                      <w:r w:rsidR="00A85E0F">
                        <w:rPr>
                          <w:rStyle w:val="normaltextrun"/>
                          <w:rFonts w:ascii="Calibri" w:hAnsi="Calibri" w:cs="Calibri"/>
                          <w:color w:val="000000"/>
                        </w:rPr>
                        <w:t>result in a proportional reduction in the initial fee to compensate for the shorter duration.</w:t>
                      </w:r>
                    </w:p>
                    <w:p w:rsidRPr="005318E3" w:rsidR="00CD39FD" w:rsidP="00CD39FD" w:rsidRDefault="00CD39FD" w14:paraId="4871CFB9" w14:textId="77777777">
                      <w:pPr>
                        <w:pStyle w:val="paragraph"/>
                        <w:spacing w:before="240" w:beforeAutospacing="0" w:after="120" w:afterAutospacing="0" w:line="276" w:lineRule="auto"/>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Feedback from industry suggests that industry </w:t>
                      </w:r>
                      <w:r w:rsidR="00156695">
                        <w:rPr>
                          <w:rStyle w:val="normaltextrun"/>
                          <w:rFonts w:ascii="Calibri" w:hAnsi="Calibri" w:cs="Calibri"/>
                          <w:color w:val="000000"/>
                          <w:sz w:val="22"/>
                          <w:szCs w:val="22"/>
                        </w:rPr>
                        <w:t xml:space="preserve">is largely comfortable with the DSB’s proposal, subject to a few refinements, which will be progressed as part of the legal agreement consultation process to follow in Q4 2021. </w:t>
                      </w:r>
                      <w:r>
                        <w:rPr>
                          <w:rStyle w:val="normaltextrun"/>
                          <w:rFonts w:ascii="Calibri" w:hAnsi="Calibri" w:cs="Calibri"/>
                          <w:color w:val="000000"/>
                          <w:sz w:val="22"/>
                          <w:szCs w:val="22"/>
                        </w:rPr>
                        <w:t xml:space="preserve"> </w:t>
                      </w:r>
                    </w:p>
                    <w:p w:rsidR="00185AC3" w:rsidP="00185AC3" w:rsidRDefault="00185AC3" w14:paraId="5A39BBE3" w14:textId="77777777">
                      <w:pPr>
                        <w:rPr>
                          <w:rStyle w:val="normaltextrun"/>
                          <w:rFonts w:ascii="Calibri" w:hAnsi="Calibri" w:cs="Calibri"/>
                          <w:b/>
                          <w:i/>
                          <w:color w:val="000000"/>
                        </w:rPr>
                      </w:pPr>
                    </w:p>
                  </w:txbxContent>
                </v:textbox>
                <w10:wrap type="tight" anchorx="margin"/>
              </v:shape>
            </w:pict>
          </mc:Fallback>
        </mc:AlternateContent>
      </w:r>
      <w:r w:rsidR="00F73E49">
        <w:t>Duration of UPI User Agreement</w:t>
      </w:r>
      <w:bookmarkEnd w:id="533"/>
      <w:bookmarkEnd w:id="534"/>
      <w:bookmarkEnd w:id="535"/>
      <w:r w:rsidR="00F73E49">
        <w:t xml:space="preserve">  </w:t>
      </w:r>
    </w:p>
    <w:p w:rsidR="00F73E49" w:rsidP="001456B9" w:rsidRDefault="00F73E49" w14:paraId="53550F73" w14:textId="77777777">
      <w:pPr>
        <w:jc w:val="both"/>
        <w:rPr>
          <w:u w:val="single"/>
        </w:rPr>
      </w:pPr>
      <w:r>
        <w:rPr>
          <w:u w:val="single"/>
        </w:rPr>
        <w:t xml:space="preserve">Summary of Responses: </w:t>
      </w:r>
    </w:p>
    <w:p w:rsidR="00F73E49" w:rsidP="001456B9" w:rsidRDefault="00F73E49" w14:paraId="013EA11F" w14:textId="77777777">
      <w:pPr>
        <w:jc w:val="both"/>
      </w:pPr>
      <w:r>
        <w:t>The DSB sought views on its proposal to proceed with a short duration User Agreement for UPI users in 2022 that ends on 31 December 2022, followed by annual contracts that cover a full Gregorian calendar year. 25% of respondents concurred with the DSB’s proposal as set out in the supporting information contained in the first consultation paper. 45% of respondents were silent on the matter. Last but not least, 33% of respondents concurred with the DSB’s proposal and on the basis of the following caveats:</w:t>
      </w:r>
    </w:p>
    <w:p w:rsidR="00F73E49" w:rsidP="001456B9" w:rsidRDefault="00F73E49" w14:paraId="5AB7DCC8" w14:textId="77777777">
      <w:pPr>
        <w:pStyle w:val="ListParagraph"/>
        <w:numPr>
          <w:ilvl w:val="0"/>
          <w:numId w:val="11"/>
        </w:numPr>
        <w:spacing w:line="276" w:lineRule="auto"/>
        <w:contextualSpacing w:val="0"/>
        <w:jc w:val="both"/>
      </w:pPr>
      <w:r>
        <w:t xml:space="preserve">That terms and conditions did not change substantively from year to year i.e. the current DSB process can continue to apply </w:t>
      </w:r>
    </w:p>
    <w:p w:rsidR="00F73E49" w:rsidP="001456B9" w:rsidRDefault="00F73E49" w14:paraId="5A9DB92D" w14:textId="77777777">
      <w:pPr>
        <w:pStyle w:val="ListParagraph"/>
        <w:numPr>
          <w:ilvl w:val="0"/>
          <w:numId w:val="11"/>
        </w:numPr>
        <w:spacing w:line="276" w:lineRule="auto"/>
        <w:contextualSpacing w:val="0"/>
        <w:jc w:val="both"/>
      </w:pPr>
      <w:r>
        <w:t>Some respondents were unclear on the rationale requiring UPI users to have a separate agreement entirely, from that they may already have in place for the OTC ISIN. These respondents proposed that the terms and conditions for the UPI service should be incorporated into the existing DSB agreement for the OTC ISIN, with a licensing entity able to check off the specific services they are subscribing to, and fees set accordingly, based on a single user agreement.</w:t>
      </w:r>
    </w:p>
    <w:p w:rsidRPr="00423F15" w:rsidR="00F73E49" w:rsidP="001456B9" w:rsidRDefault="00F73E49" w14:paraId="6FD5D474" w14:textId="77777777">
      <w:pPr>
        <w:jc w:val="both"/>
        <w:rPr>
          <w:u w:val="single"/>
        </w:rPr>
      </w:pPr>
      <w:r w:rsidRPr="00423F15">
        <w:rPr>
          <w:u w:val="single"/>
        </w:rPr>
        <w:t>DSB Proposal:</w:t>
      </w:r>
    </w:p>
    <w:p w:rsidRPr="008E271F" w:rsidR="00F73E49" w:rsidP="001456B9" w:rsidRDefault="00F73E49" w14:paraId="79444F90" w14:textId="70AC5CC3">
      <w:pPr>
        <w:jc w:val="both"/>
        <w:rPr>
          <w:rStyle w:val="normaltextrun"/>
          <w:rFonts w:ascii="Calibri" w:hAnsi="Calibri" w:cs="Calibri"/>
          <w:color w:val="000000"/>
        </w:rPr>
      </w:pPr>
      <w:r w:rsidRPr="008E271F">
        <w:rPr>
          <w:rStyle w:val="normaltextrun"/>
          <w:rFonts w:ascii="Calibri" w:hAnsi="Calibri" w:cs="Calibri"/>
          <w:color w:val="000000"/>
        </w:rPr>
        <w:t xml:space="preserve">The DSB </w:t>
      </w:r>
      <w:r>
        <w:rPr>
          <w:rStyle w:val="normaltextrun"/>
          <w:rFonts w:ascii="Calibri" w:hAnsi="Calibri" w:cs="Calibri"/>
          <w:color w:val="000000"/>
        </w:rPr>
        <w:t>had proposed in the</w:t>
      </w:r>
      <w:r w:rsidR="005D7467">
        <w:rPr>
          <w:rStyle w:val="normaltextrun"/>
          <w:rFonts w:ascii="Calibri" w:hAnsi="Calibri" w:cs="Calibri"/>
          <w:color w:val="000000"/>
        </w:rPr>
        <w:t xml:space="preserve"> </w:t>
      </w:r>
      <w:r>
        <w:rPr>
          <w:rStyle w:val="normaltextrun"/>
          <w:rFonts w:ascii="Calibri" w:hAnsi="Calibri" w:cs="Calibri"/>
          <w:color w:val="000000"/>
        </w:rPr>
        <w:t>first consultation t</w:t>
      </w:r>
      <w:r w:rsidRPr="008E271F">
        <w:rPr>
          <w:rStyle w:val="normaltextrun"/>
          <w:rFonts w:ascii="Calibri" w:hAnsi="Calibri" w:cs="Calibri"/>
          <w:color w:val="000000"/>
        </w:rPr>
        <w:t xml:space="preserve">o align the </w:t>
      </w:r>
      <w:r>
        <w:rPr>
          <w:rStyle w:val="normaltextrun"/>
          <w:rFonts w:ascii="Calibri" w:hAnsi="Calibri" w:cs="Calibri"/>
          <w:color w:val="000000"/>
        </w:rPr>
        <w:t xml:space="preserve">UPI license agreement </w:t>
      </w:r>
      <w:r w:rsidRPr="008E271F">
        <w:rPr>
          <w:rStyle w:val="normaltextrun"/>
          <w:rFonts w:ascii="Calibri" w:hAnsi="Calibri" w:cs="Calibri"/>
          <w:color w:val="000000"/>
        </w:rPr>
        <w:t>period with the Gregorian calendar. Given the intra-year start to the service, the DSB propose</w:t>
      </w:r>
      <w:r>
        <w:rPr>
          <w:rStyle w:val="normaltextrun"/>
          <w:rFonts w:ascii="Calibri" w:hAnsi="Calibri" w:cs="Calibri"/>
          <w:color w:val="000000"/>
        </w:rPr>
        <w:t>d</w:t>
      </w:r>
      <w:r w:rsidRPr="008E271F">
        <w:rPr>
          <w:rStyle w:val="normaltextrun"/>
          <w:rFonts w:ascii="Calibri" w:hAnsi="Calibri" w:cs="Calibri"/>
          <w:color w:val="000000"/>
        </w:rPr>
        <w:t xml:space="preserve"> that the duration of the first UA to be shorter than the standard 12 months, in order to align all subsequent UAs with the Gregorian calendar year. </w:t>
      </w:r>
      <w:r>
        <w:rPr>
          <w:rStyle w:val="normaltextrun"/>
          <w:rFonts w:ascii="Calibri" w:hAnsi="Calibri" w:cs="Calibri"/>
          <w:color w:val="000000"/>
        </w:rPr>
        <w:t xml:space="preserve">This is expected to result in a proportional reduction in the initial fee to compensate for the shorter duration. </w:t>
      </w:r>
      <w:r w:rsidRPr="008E271F">
        <w:rPr>
          <w:rStyle w:val="normaltextrun"/>
          <w:rFonts w:ascii="Calibri" w:hAnsi="Calibri" w:cs="Calibri"/>
          <w:color w:val="000000"/>
        </w:rPr>
        <w:t>Users who wish to continue to utilise UPI services at the end of the initial UA period will roll into a renewal period of a full Gregorian calendar year.</w:t>
      </w:r>
    </w:p>
    <w:p w:rsidRPr="00AC72BF" w:rsidR="00F73E49" w:rsidP="00AB4C9D" w:rsidRDefault="00F73E49" w14:paraId="4CAD3708" w14:textId="2007BB86">
      <w:pPr>
        <w:jc w:val="both"/>
      </w:pPr>
      <w:r>
        <w:t>The DSB is evaluating the specific above mentioned comments put forward by respondents in response to the proposal set out in the prior consultation, and will p</w:t>
      </w:r>
      <w:r w:rsidRPr="00CA6993">
        <w:t>rogress</w:t>
      </w:r>
      <w:r>
        <w:t xml:space="preserve"> these </w:t>
      </w:r>
      <w:r w:rsidRPr="00CA6993">
        <w:t>as part of the legal agreement consultation later in the year.</w:t>
      </w:r>
      <w:r>
        <w:t xml:space="preserve"> </w:t>
      </w:r>
    </w:p>
    <w:p w:rsidRPr="003D2758" w:rsidR="00F73E49" w:rsidP="00AB4C9D" w:rsidRDefault="00F73E49" w14:paraId="2C250127" w14:textId="77777777">
      <w:pPr>
        <w:rPr>
          <w:b/>
        </w:rPr>
      </w:pPr>
    </w:p>
    <w:p w:rsidR="00F73E49" w:rsidP="00F73E49" w:rsidRDefault="00185AC3" w14:paraId="22AA0771" w14:textId="0779307B">
      <w:pPr>
        <w:pStyle w:val="Heading2"/>
        <w:spacing w:before="0" w:line="276" w:lineRule="auto"/>
      </w:pPr>
      <w:bookmarkStart w:name="_Ref57558166" w:id="536"/>
      <w:bookmarkStart w:name="_Toc60651793" w:id="537"/>
      <w:bookmarkStart w:name="_Ref60844405" w:id="538"/>
      <w:bookmarkStart w:name="_Ref60844414" w:id="539"/>
      <w:bookmarkStart w:name="_Ref69723491" w:id="540"/>
      <w:bookmarkStart w:name="_Toc69802002" w:id="541"/>
      <w:bookmarkStart w:name="_Toc71369596" w:id="542"/>
      <w:r>
        <w:rPr>
          <w:noProof/>
          <w:lang w:eastAsia="en-GB"/>
        </w:rPr>
        <mc:AlternateContent>
          <mc:Choice Requires="wps">
            <w:drawing>
              <wp:anchor distT="45720" distB="45720" distL="114300" distR="114300" simplePos="0" relativeHeight="251658247" behindDoc="0" locked="0" layoutInCell="1" allowOverlap="1" wp14:anchorId="5B8EDCB6" wp14:editId="0A17AB74">
                <wp:simplePos x="0" y="0"/>
                <wp:positionH relativeFrom="margin">
                  <wp:align>right</wp:align>
                </wp:positionH>
                <wp:positionV relativeFrom="paragraph">
                  <wp:posOffset>265430</wp:posOffset>
                </wp:positionV>
                <wp:extent cx="5716905" cy="2099310"/>
                <wp:effectExtent l="0" t="0" r="17145" b="1524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2099310"/>
                        </a:xfrm>
                        <a:prstGeom prst="rect">
                          <a:avLst/>
                        </a:prstGeom>
                        <a:solidFill>
                          <a:srgbClr val="FFFFFF"/>
                        </a:solidFill>
                        <a:ln w="9525">
                          <a:solidFill>
                            <a:srgbClr val="04AEB9"/>
                          </a:solidFill>
                          <a:miter lim="800000"/>
                          <a:headEnd/>
                          <a:tailEnd/>
                        </a:ln>
                      </wps:spPr>
                      <wps:txbx>
                        <w:txbxContent>
                          <w:p w:rsidRPr="00244FE0" w:rsidR="00562E2B" w:rsidP="008813CC" w:rsidRDefault="0007047E" w14:paraId="29ED196A" w14:textId="0B4C175E">
                            <w:pPr>
                              <w:pStyle w:val="NormalWeb"/>
                              <w:shd w:val="clear" w:color="auto" w:fill="FFFFFF" w:themeFill="background1"/>
                              <w:spacing w:before="0" w:beforeAutospacing="0" w:after="120" w:afterAutospacing="0" w:line="276" w:lineRule="auto"/>
                              <w:textAlignment w:val="baseline"/>
                              <w:rPr>
                                <w:rStyle w:val="normaltextrun"/>
                                <w:rFonts w:asciiTheme="minorHAnsi" w:hAnsiTheme="minorHAnsi" w:eastAsiaTheme="minorEastAsia" w:cstheme="minorHAnsi"/>
                                <w:b/>
                                <w:bCs/>
                                <w:i/>
                                <w:iCs/>
                                <w:color w:val="000000"/>
                                <w:sz w:val="22"/>
                                <w:szCs w:val="22"/>
                              </w:rPr>
                            </w:pPr>
                            <w:r w:rsidRPr="00244FE0">
                              <w:rPr>
                                <w:rStyle w:val="normaltextrun"/>
                                <w:rFonts w:asciiTheme="minorHAnsi" w:hAnsiTheme="minorHAnsi" w:cstheme="minorHAnsi"/>
                                <w:b/>
                                <w:bCs/>
                                <w:i/>
                                <w:iCs/>
                                <w:color w:val="000000"/>
                                <w:sz w:val="22"/>
                                <w:szCs w:val="22"/>
                              </w:rPr>
                              <w:t xml:space="preserve">Summary: </w:t>
                            </w:r>
                            <w:r w:rsidR="004256F4">
                              <w:rPr>
                                <w:rFonts w:asciiTheme="minorHAnsi" w:hAnsiTheme="minorHAnsi" w:cstheme="minorHAnsi"/>
                                <w:sz w:val="22"/>
                                <w:szCs w:val="22"/>
                              </w:rPr>
                              <w:t>T</w:t>
                            </w:r>
                            <w:r w:rsidRPr="003073B9" w:rsidR="003073B9">
                              <w:rPr>
                                <w:rFonts w:asciiTheme="minorHAnsi" w:hAnsiTheme="minorHAnsi" w:cstheme="minorHAnsi"/>
                                <w:sz w:val="22"/>
                                <w:szCs w:val="22"/>
                              </w:rPr>
                              <w:t xml:space="preserve">he DSB proposal remains that fees should be paid in advance, as </w:t>
                            </w:r>
                            <w:r w:rsidR="00283D15">
                              <w:rPr>
                                <w:rFonts w:asciiTheme="minorHAnsi" w:hAnsiTheme="minorHAnsi" w:cstheme="minorHAnsi"/>
                                <w:sz w:val="22"/>
                                <w:szCs w:val="22"/>
                              </w:rPr>
                              <w:t>with the existing service provision</w:t>
                            </w:r>
                            <w:r w:rsidRPr="003073B9" w:rsidR="003073B9">
                              <w:rPr>
                                <w:rFonts w:asciiTheme="minorHAnsi" w:hAnsiTheme="minorHAnsi" w:cstheme="minorHAnsi"/>
                                <w:sz w:val="22"/>
                                <w:szCs w:val="22"/>
                              </w:rPr>
                              <w:t xml:space="preserve">.  </w:t>
                            </w:r>
                            <w:r w:rsidR="00D01ACF">
                              <w:rPr>
                                <w:rFonts w:asciiTheme="minorHAnsi" w:hAnsiTheme="minorHAnsi" w:cstheme="minorHAnsi"/>
                                <w:sz w:val="22"/>
                                <w:szCs w:val="22"/>
                              </w:rPr>
                              <w:t>Whilst acknowledging the pre</w:t>
                            </w:r>
                            <w:r w:rsidR="004C6701">
                              <w:rPr>
                                <w:rFonts w:asciiTheme="minorHAnsi" w:hAnsiTheme="minorHAnsi" w:cstheme="minorHAnsi"/>
                                <w:sz w:val="22"/>
                                <w:szCs w:val="22"/>
                              </w:rPr>
                              <w:t xml:space="preserve">ference for </w:t>
                            </w:r>
                            <w:r w:rsidR="00B813ED">
                              <w:rPr>
                                <w:rFonts w:asciiTheme="minorHAnsi" w:hAnsiTheme="minorHAnsi" w:cstheme="minorHAnsi"/>
                                <w:sz w:val="22"/>
                                <w:szCs w:val="22"/>
                              </w:rPr>
                              <w:t xml:space="preserve">free data </w:t>
                            </w:r>
                            <w:r w:rsidR="00283D15">
                              <w:rPr>
                                <w:rFonts w:asciiTheme="minorHAnsi" w:hAnsiTheme="minorHAnsi" w:cstheme="minorHAnsi"/>
                                <w:sz w:val="22"/>
                                <w:szCs w:val="22"/>
                              </w:rPr>
                              <w:t>and</w:t>
                            </w:r>
                            <w:r w:rsidR="00B813ED">
                              <w:rPr>
                                <w:rFonts w:asciiTheme="minorHAnsi" w:hAnsiTheme="minorHAnsi" w:cstheme="minorHAnsi"/>
                                <w:sz w:val="22"/>
                                <w:szCs w:val="22"/>
                              </w:rPr>
                              <w:t xml:space="preserve"> payment in arrears, </w:t>
                            </w:r>
                            <w:r w:rsidR="00EF77C4">
                              <w:rPr>
                                <w:rFonts w:asciiTheme="minorHAnsi" w:hAnsiTheme="minorHAnsi" w:cstheme="minorHAnsi"/>
                                <w:sz w:val="22"/>
                                <w:szCs w:val="22"/>
                              </w:rPr>
                              <w:t>t</w:t>
                            </w:r>
                            <w:r w:rsidR="00B813ED">
                              <w:rPr>
                                <w:rFonts w:asciiTheme="minorHAnsi" w:hAnsiTheme="minorHAnsi" w:cstheme="minorHAnsi"/>
                                <w:sz w:val="22"/>
                                <w:szCs w:val="22"/>
                              </w:rPr>
                              <w:t>he DSB</w:t>
                            </w:r>
                            <w:r w:rsidR="00EF77C4">
                              <w:rPr>
                                <w:rFonts w:asciiTheme="minorHAnsi" w:hAnsiTheme="minorHAnsi" w:cstheme="minorHAnsi"/>
                                <w:sz w:val="22"/>
                                <w:szCs w:val="22"/>
                              </w:rPr>
                              <w:t xml:space="preserve"> proposes that a payment </w:t>
                            </w:r>
                            <w:r w:rsidR="00BF294E">
                              <w:rPr>
                                <w:rFonts w:asciiTheme="minorHAnsi" w:hAnsiTheme="minorHAnsi" w:cstheme="minorHAnsi"/>
                                <w:sz w:val="22"/>
                                <w:szCs w:val="22"/>
                              </w:rPr>
                              <w:t>in</w:t>
                            </w:r>
                            <w:r w:rsidR="00EF77C4">
                              <w:rPr>
                                <w:rFonts w:asciiTheme="minorHAnsi" w:hAnsiTheme="minorHAnsi" w:cstheme="minorHAnsi"/>
                                <w:sz w:val="22"/>
                                <w:szCs w:val="22"/>
                              </w:rPr>
                              <w:t xml:space="preserve"> advance structure </w:t>
                            </w:r>
                            <w:r w:rsidR="00BF294E">
                              <w:rPr>
                                <w:rFonts w:asciiTheme="minorHAnsi" w:hAnsiTheme="minorHAnsi" w:cstheme="minorHAnsi"/>
                                <w:sz w:val="22"/>
                                <w:szCs w:val="22"/>
                              </w:rPr>
                              <w:t xml:space="preserve">is </w:t>
                            </w:r>
                            <w:r w:rsidR="006B20D6">
                              <w:rPr>
                                <w:rFonts w:asciiTheme="minorHAnsi" w:hAnsiTheme="minorHAnsi" w:cstheme="minorHAnsi"/>
                                <w:sz w:val="22"/>
                                <w:szCs w:val="22"/>
                              </w:rPr>
                              <w:t>necessary</w:t>
                            </w:r>
                            <w:r w:rsidR="00BF294E">
                              <w:rPr>
                                <w:rFonts w:asciiTheme="minorHAnsi" w:hAnsiTheme="minorHAnsi" w:cstheme="minorHAnsi"/>
                                <w:sz w:val="22"/>
                                <w:szCs w:val="22"/>
                              </w:rPr>
                              <w:t xml:space="preserve"> for </w:t>
                            </w:r>
                            <w:r w:rsidR="006B20D6">
                              <w:rPr>
                                <w:rFonts w:asciiTheme="minorHAnsi" w:hAnsiTheme="minorHAnsi" w:cstheme="minorHAnsi"/>
                                <w:sz w:val="22"/>
                                <w:szCs w:val="22"/>
                              </w:rPr>
                              <w:t xml:space="preserve">effectively </w:t>
                            </w:r>
                            <w:r w:rsidR="00BF294E">
                              <w:rPr>
                                <w:rFonts w:asciiTheme="minorHAnsi" w:hAnsiTheme="minorHAnsi" w:cstheme="minorHAnsi"/>
                                <w:sz w:val="22"/>
                                <w:szCs w:val="22"/>
                              </w:rPr>
                              <w:t>supporting the financial sustainability of the UPI service.</w:t>
                            </w:r>
                            <w:r w:rsidR="00B813ED">
                              <w:rPr>
                                <w:rFonts w:asciiTheme="minorHAnsi" w:hAnsiTheme="minorHAnsi" w:cstheme="minorHAnsi"/>
                                <w:sz w:val="22"/>
                                <w:szCs w:val="22"/>
                              </w:rPr>
                              <w:t xml:space="preserve"> </w:t>
                            </w:r>
                          </w:p>
                          <w:p w:rsidRPr="001D107F" w:rsidR="00FE15F7" w:rsidP="00FE15F7" w:rsidRDefault="00FE15F7" w14:paraId="37702020" w14:textId="62E0E493">
                            <w:pPr>
                              <w:pStyle w:val="NormalWeb"/>
                              <w:shd w:val="clear" w:color="auto" w:fill="FFFFFF" w:themeFill="background1"/>
                              <w:spacing w:after="120" w:line="276" w:lineRule="auto"/>
                              <w:textAlignment w:val="baseline"/>
                              <w:rPr>
                                <w:rStyle w:val="normaltextrun"/>
                                <w:rFonts w:asciiTheme="minorHAnsi" w:hAnsiTheme="minorHAnsi"/>
                                <w:b/>
                                <w:i/>
                                <w:color w:val="000000"/>
                                <w:sz w:val="22"/>
                                <w:szCs w:val="22"/>
                              </w:rPr>
                            </w:pPr>
                            <w:r w:rsidRPr="00992C2B">
                              <w:rPr>
                                <w:rStyle w:val="normaltextrun"/>
                                <w:rFonts w:asciiTheme="minorHAnsi" w:hAnsiTheme="minorHAnsi"/>
                                <w:b/>
                                <w:i/>
                                <w:color w:val="000000"/>
                                <w:sz w:val="22"/>
                                <w:szCs w:val="22"/>
                              </w:rPr>
                              <w:t xml:space="preserve">Question </w:t>
                            </w:r>
                            <w:r w:rsidR="00D93D25">
                              <w:rPr>
                                <w:rStyle w:val="normaltextrun"/>
                                <w:rFonts w:asciiTheme="minorHAnsi" w:hAnsiTheme="minorHAnsi"/>
                                <w:b/>
                                <w:i/>
                                <w:color w:val="000000"/>
                                <w:sz w:val="22"/>
                                <w:szCs w:val="22"/>
                              </w:rPr>
                              <w:t>7</w:t>
                            </w:r>
                            <w:r w:rsidRPr="00992C2B">
                              <w:rPr>
                                <w:rStyle w:val="normaltextrun"/>
                                <w:rFonts w:asciiTheme="minorHAnsi" w:hAnsiTheme="minorHAnsi"/>
                                <w:b/>
                                <w:i/>
                                <w:color w:val="000000"/>
                                <w:sz w:val="22"/>
                                <w:szCs w:val="22"/>
                              </w:rPr>
                              <w:t>a:</w:t>
                            </w:r>
                            <w:r w:rsidRPr="001D107F">
                              <w:rPr>
                                <w:rStyle w:val="normaltextrun"/>
                                <w:rFonts w:asciiTheme="minorHAnsi" w:hAnsiTheme="minorHAnsi"/>
                                <w:b/>
                                <w:i/>
                                <w:color w:val="000000"/>
                                <w:sz w:val="22"/>
                                <w:szCs w:val="22"/>
                              </w:rPr>
                              <w:t xml:space="preserve"> Do you concur with this approach</w:t>
                            </w:r>
                            <w:r w:rsidR="003116BA">
                              <w:rPr>
                                <w:rStyle w:val="normaltextrun"/>
                                <w:rFonts w:asciiTheme="minorHAnsi" w:hAnsiTheme="minorHAnsi"/>
                                <w:b/>
                                <w:i/>
                                <w:color w:val="000000"/>
                                <w:sz w:val="22"/>
                                <w:szCs w:val="22"/>
                              </w:rPr>
                              <w:t xml:space="preserve"> to invoicing</w:t>
                            </w:r>
                            <w:r w:rsidRPr="001D107F">
                              <w:rPr>
                                <w:rStyle w:val="normaltextrun"/>
                                <w:rFonts w:asciiTheme="minorHAnsi" w:hAnsiTheme="minorHAnsi"/>
                                <w:b/>
                                <w:i/>
                                <w:color w:val="000000"/>
                                <w:sz w:val="22"/>
                                <w:szCs w:val="22"/>
                              </w:rPr>
                              <w:t xml:space="preserve">? </w:t>
                            </w:r>
                          </w:p>
                          <w:p w:rsidRPr="004256F4" w:rsidR="00185AC3" w:rsidP="00FE15F7" w:rsidRDefault="00FE15F7" w14:paraId="638D4A8F" w14:textId="0223A95D">
                            <w:pPr>
                              <w:pStyle w:val="NormalWeb"/>
                              <w:shd w:val="clear" w:color="auto" w:fill="FFFFFF" w:themeFill="background1"/>
                              <w:spacing w:before="0" w:beforeAutospacing="0" w:after="120" w:afterAutospacing="0" w:line="276" w:lineRule="auto"/>
                              <w:textAlignment w:val="baseline"/>
                              <w:rPr>
                                <w:rStyle w:val="normaltextrun"/>
                                <w:rFonts w:asciiTheme="minorHAnsi" w:hAnsiTheme="minorHAnsi" w:cstheme="minorHAnsi"/>
                                <w:b/>
                                <w:i/>
                                <w:color w:val="000000"/>
                                <w:sz w:val="22"/>
                                <w:szCs w:val="22"/>
                              </w:rPr>
                            </w:pPr>
                            <w:r w:rsidRPr="00992C2B">
                              <w:rPr>
                                <w:rStyle w:val="normaltextrun"/>
                                <w:rFonts w:asciiTheme="minorHAnsi" w:hAnsiTheme="minorHAnsi"/>
                                <w:b/>
                                <w:i/>
                                <w:color w:val="000000"/>
                                <w:sz w:val="22"/>
                                <w:szCs w:val="22"/>
                              </w:rPr>
                              <w:t xml:space="preserve">Question </w:t>
                            </w:r>
                            <w:r w:rsidR="00D93D25">
                              <w:rPr>
                                <w:rStyle w:val="normaltextrun"/>
                                <w:rFonts w:asciiTheme="minorHAnsi" w:hAnsiTheme="minorHAnsi"/>
                                <w:b/>
                                <w:i/>
                                <w:color w:val="000000"/>
                                <w:sz w:val="22"/>
                                <w:szCs w:val="22"/>
                              </w:rPr>
                              <w:t>7</w:t>
                            </w:r>
                            <w:r w:rsidRPr="00992C2B">
                              <w:rPr>
                                <w:rStyle w:val="normaltextrun"/>
                                <w:rFonts w:asciiTheme="minorHAnsi" w:hAnsiTheme="minorHAnsi"/>
                                <w:b/>
                                <w:i/>
                                <w:color w:val="000000"/>
                                <w:sz w:val="22"/>
                                <w:szCs w:val="22"/>
                              </w:rPr>
                              <w:t>b</w:t>
                            </w:r>
                            <w:r w:rsidRPr="001D107F">
                              <w:rPr>
                                <w:rStyle w:val="normaltextrun"/>
                                <w:rFonts w:asciiTheme="minorHAnsi" w:hAnsiTheme="minorHAnsi"/>
                                <w:b/>
                                <w:i/>
                                <w:color w:val="000000"/>
                                <w:sz w:val="22"/>
                                <w:szCs w:val="22"/>
                              </w:rPr>
                              <w:t xml:space="preserve">: If not, what specific alternate approach do you recommend? Please provide a clear rationale and any additional </w:t>
                            </w:r>
                            <w:r w:rsidRPr="001D107F" w:rsidR="00500D93">
                              <w:rPr>
                                <w:rStyle w:val="normaltextrun"/>
                                <w:rFonts w:asciiTheme="minorHAnsi" w:hAnsiTheme="minorHAnsi"/>
                                <w:b/>
                                <w:i/>
                                <w:color w:val="000000"/>
                                <w:sz w:val="22"/>
                                <w:szCs w:val="22"/>
                              </w:rPr>
                              <w:t>details</w:t>
                            </w:r>
                            <w:r w:rsidRPr="001D107F">
                              <w:rPr>
                                <w:rStyle w:val="normaltextrun"/>
                                <w:rFonts w:asciiTheme="minorHAnsi" w:hAnsiTheme="minorHAnsi"/>
                                <w:b/>
                                <w:i/>
                                <w:color w:val="000000"/>
                                <w:sz w:val="22"/>
                                <w:szCs w:val="22"/>
                              </w:rPr>
                              <w:t xml:space="preserve"> you believe should be incorporated into the DSB’s a</w:t>
                            </w:r>
                            <w:r w:rsidRPr="001D107F" w:rsidR="00A06332">
                              <w:rPr>
                                <w:rStyle w:val="normaltextrun"/>
                                <w:rFonts w:asciiTheme="minorHAnsi" w:hAnsiTheme="minorHAnsi"/>
                                <w:b/>
                                <w:i/>
                                <w:color w:val="000000"/>
                                <w:sz w:val="22"/>
                                <w:szCs w:val="22"/>
                              </w:rPr>
                              <w:t>pproach</w:t>
                            </w:r>
                            <w:r w:rsidRPr="00FE15F7">
                              <w:rPr>
                                <w:rStyle w:val="normaltextrun"/>
                                <w:rFonts w:asciiTheme="minorHAnsi" w:hAnsiTheme="minorHAnsi"/>
                                <w:b/>
                                <w:bCs/>
                                <w:i/>
                                <w:iCs/>
                                <w:color w:val="000000"/>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7ECF15D">
              <v:shape id="Text Box 27" style="position:absolute;left:0;text-align:left;margin-left:398.95pt;margin-top:20.9pt;width:450.15pt;height:165.3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34" strokecolor="#04aeb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" w14:anchorId="5B8EDCB6">
                <v:textbox>
                  <w:txbxContent>
                    <w:p w:rsidRPr="00244FE0" w:rsidR="00562E2B" w:rsidP="008813CC" w:rsidRDefault="0007047E" w14:paraId="68CD0641" w14:textId="0B4C175E">
                      <w:pPr>
                        <w:pStyle w:val="NormalWeb"/>
                        <w:shd w:val="clear" w:color="auto" w:fill="FFFFFF" w:themeFill="background1"/>
                        <w:spacing w:before="0" w:beforeAutospacing="0" w:after="120" w:afterAutospacing="0" w:line="276" w:lineRule="auto"/>
                        <w:textAlignment w:val="baseline"/>
                        <w:rPr>
                          <w:rStyle w:val="normaltextrun"/>
                          <w:rFonts w:asciiTheme="minorHAnsi" w:hAnsiTheme="minorHAnsi" w:eastAsiaTheme="minorEastAsia" w:cstheme="minorHAnsi"/>
                          <w:b/>
                          <w:bCs/>
                          <w:i/>
                          <w:iCs/>
                          <w:color w:val="000000"/>
                          <w:sz w:val="22"/>
                          <w:szCs w:val="22"/>
                        </w:rPr>
                      </w:pPr>
                      <w:r w:rsidRPr="00244FE0">
                        <w:rPr>
                          <w:rStyle w:val="normaltextrun"/>
                          <w:rFonts w:asciiTheme="minorHAnsi" w:hAnsiTheme="minorHAnsi" w:cstheme="minorHAnsi"/>
                          <w:b/>
                          <w:bCs/>
                          <w:i/>
                          <w:iCs/>
                          <w:color w:val="000000"/>
                          <w:sz w:val="22"/>
                          <w:szCs w:val="22"/>
                        </w:rPr>
                        <w:t xml:space="preserve">Summary: </w:t>
                      </w:r>
                      <w:r w:rsidR="004256F4">
                        <w:rPr>
                          <w:rFonts w:asciiTheme="minorHAnsi" w:hAnsiTheme="minorHAnsi" w:cstheme="minorHAnsi"/>
                          <w:sz w:val="22"/>
                          <w:szCs w:val="22"/>
                        </w:rPr>
                        <w:t>T</w:t>
                      </w:r>
                      <w:r w:rsidRPr="003073B9" w:rsidR="003073B9">
                        <w:rPr>
                          <w:rFonts w:asciiTheme="minorHAnsi" w:hAnsiTheme="minorHAnsi" w:cstheme="minorHAnsi"/>
                          <w:sz w:val="22"/>
                          <w:szCs w:val="22"/>
                        </w:rPr>
                        <w:t xml:space="preserve">he DSB proposal remains that fees should be paid in advance, as </w:t>
                      </w:r>
                      <w:r w:rsidR="00283D15">
                        <w:rPr>
                          <w:rFonts w:asciiTheme="minorHAnsi" w:hAnsiTheme="minorHAnsi" w:cstheme="minorHAnsi"/>
                          <w:sz w:val="22"/>
                          <w:szCs w:val="22"/>
                        </w:rPr>
                        <w:t>with the existing service provision</w:t>
                      </w:r>
                      <w:r w:rsidRPr="003073B9" w:rsidR="003073B9">
                        <w:rPr>
                          <w:rFonts w:asciiTheme="minorHAnsi" w:hAnsiTheme="minorHAnsi" w:cstheme="minorHAnsi"/>
                          <w:sz w:val="22"/>
                          <w:szCs w:val="22"/>
                        </w:rPr>
                        <w:t xml:space="preserve">.  </w:t>
                      </w:r>
                      <w:r w:rsidR="00D01ACF">
                        <w:rPr>
                          <w:rFonts w:asciiTheme="minorHAnsi" w:hAnsiTheme="minorHAnsi" w:cstheme="minorHAnsi"/>
                          <w:sz w:val="22"/>
                          <w:szCs w:val="22"/>
                        </w:rPr>
                        <w:t>Whilst acknowledging the pre</w:t>
                      </w:r>
                      <w:r w:rsidR="004C6701">
                        <w:rPr>
                          <w:rFonts w:asciiTheme="minorHAnsi" w:hAnsiTheme="minorHAnsi" w:cstheme="minorHAnsi"/>
                          <w:sz w:val="22"/>
                          <w:szCs w:val="22"/>
                        </w:rPr>
                        <w:t xml:space="preserve">ference for </w:t>
                      </w:r>
                      <w:r w:rsidR="00B813ED">
                        <w:rPr>
                          <w:rFonts w:asciiTheme="minorHAnsi" w:hAnsiTheme="minorHAnsi" w:cstheme="minorHAnsi"/>
                          <w:sz w:val="22"/>
                          <w:szCs w:val="22"/>
                        </w:rPr>
                        <w:t xml:space="preserve">free data </w:t>
                      </w:r>
                      <w:r w:rsidR="00283D15">
                        <w:rPr>
                          <w:rFonts w:asciiTheme="minorHAnsi" w:hAnsiTheme="minorHAnsi" w:cstheme="minorHAnsi"/>
                          <w:sz w:val="22"/>
                          <w:szCs w:val="22"/>
                        </w:rPr>
                        <w:t>and</w:t>
                      </w:r>
                      <w:r w:rsidR="00B813ED">
                        <w:rPr>
                          <w:rFonts w:asciiTheme="minorHAnsi" w:hAnsiTheme="minorHAnsi" w:cstheme="minorHAnsi"/>
                          <w:sz w:val="22"/>
                          <w:szCs w:val="22"/>
                        </w:rPr>
                        <w:t xml:space="preserve"> payment in arrears, </w:t>
                      </w:r>
                      <w:r w:rsidR="00EF77C4">
                        <w:rPr>
                          <w:rFonts w:asciiTheme="minorHAnsi" w:hAnsiTheme="minorHAnsi" w:cstheme="minorHAnsi"/>
                          <w:sz w:val="22"/>
                          <w:szCs w:val="22"/>
                        </w:rPr>
                        <w:t>t</w:t>
                      </w:r>
                      <w:r w:rsidR="00B813ED">
                        <w:rPr>
                          <w:rFonts w:asciiTheme="minorHAnsi" w:hAnsiTheme="minorHAnsi" w:cstheme="minorHAnsi"/>
                          <w:sz w:val="22"/>
                          <w:szCs w:val="22"/>
                        </w:rPr>
                        <w:t>he DSB</w:t>
                      </w:r>
                      <w:r w:rsidR="00EF77C4">
                        <w:rPr>
                          <w:rFonts w:asciiTheme="minorHAnsi" w:hAnsiTheme="minorHAnsi" w:cstheme="minorHAnsi"/>
                          <w:sz w:val="22"/>
                          <w:szCs w:val="22"/>
                        </w:rPr>
                        <w:t xml:space="preserve"> proposes that a payment </w:t>
                      </w:r>
                      <w:r w:rsidR="00BF294E">
                        <w:rPr>
                          <w:rFonts w:asciiTheme="minorHAnsi" w:hAnsiTheme="minorHAnsi" w:cstheme="minorHAnsi"/>
                          <w:sz w:val="22"/>
                          <w:szCs w:val="22"/>
                        </w:rPr>
                        <w:t>in</w:t>
                      </w:r>
                      <w:r w:rsidR="00EF77C4">
                        <w:rPr>
                          <w:rFonts w:asciiTheme="minorHAnsi" w:hAnsiTheme="minorHAnsi" w:cstheme="minorHAnsi"/>
                          <w:sz w:val="22"/>
                          <w:szCs w:val="22"/>
                        </w:rPr>
                        <w:t xml:space="preserve"> advance structure </w:t>
                      </w:r>
                      <w:r w:rsidR="00BF294E">
                        <w:rPr>
                          <w:rFonts w:asciiTheme="minorHAnsi" w:hAnsiTheme="minorHAnsi" w:cstheme="minorHAnsi"/>
                          <w:sz w:val="22"/>
                          <w:szCs w:val="22"/>
                        </w:rPr>
                        <w:t xml:space="preserve">is </w:t>
                      </w:r>
                      <w:r w:rsidR="006B20D6">
                        <w:rPr>
                          <w:rFonts w:asciiTheme="minorHAnsi" w:hAnsiTheme="minorHAnsi" w:cstheme="minorHAnsi"/>
                          <w:sz w:val="22"/>
                          <w:szCs w:val="22"/>
                        </w:rPr>
                        <w:t>necessary</w:t>
                      </w:r>
                      <w:r w:rsidR="00BF294E">
                        <w:rPr>
                          <w:rFonts w:asciiTheme="minorHAnsi" w:hAnsiTheme="minorHAnsi" w:cstheme="minorHAnsi"/>
                          <w:sz w:val="22"/>
                          <w:szCs w:val="22"/>
                        </w:rPr>
                        <w:t xml:space="preserve"> for </w:t>
                      </w:r>
                      <w:r w:rsidR="006B20D6">
                        <w:rPr>
                          <w:rFonts w:asciiTheme="minorHAnsi" w:hAnsiTheme="minorHAnsi" w:cstheme="minorHAnsi"/>
                          <w:sz w:val="22"/>
                          <w:szCs w:val="22"/>
                        </w:rPr>
                        <w:t xml:space="preserve">effectively </w:t>
                      </w:r>
                      <w:r w:rsidR="00BF294E">
                        <w:rPr>
                          <w:rFonts w:asciiTheme="minorHAnsi" w:hAnsiTheme="minorHAnsi" w:cstheme="minorHAnsi"/>
                          <w:sz w:val="22"/>
                          <w:szCs w:val="22"/>
                        </w:rPr>
                        <w:t>supporting the financial sustainability of the UPI service.</w:t>
                      </w:r>
                      <w:r w:rsidR="00B813ED">
                        <w:rPr>
                          <w:rFonts w:asciiTheme="minorHAnsi" w:hAnsiTheme="minorHAnsi" w:cstheme="minorHAnsi"/>
                          <w:sz w:val="22"/>
                          <w:szCs w:val="22"/>
                        </w:rPr>
                        <w:t xml:space="preserve"> </w:t>
                      </w:r>
                    </w:p>
                    <w:p w:rsidRPr="001D107F" w:rsidR="00FE15F7" w:rsidP="00FE15F7" w:rsidRDefault="00FE15F7" w14:paraId="5C48206E" w14:textId="62E0E493">
                      <w:pPr>
                        <w:pStyle w:val="NormalWeb"/>
                        <w:shd w:val="clear" w:color="auto" w:fill="FFFFFF" w:themeFill="background1"/>
                        <w:spacing w:after="120" w:line="276" w:lineRule="auto"/>
                        <w:textAlignment w:val="baseline"/>
                        <w:rPr>
                          <w:rStyle w:val="normaltextrun"/>
                          <w:rFonts w:asciiTheme="minorHAnsi" w:hAnsiTheme="minorHAnsi"/>
                          <w:b/>
                          <w:i/>
                          <w:color w:val="000000"/>
                          <w:sz w:val="22"/>
                          <w:szCs w:val="22"/>
                        </w:rPr>
                      </w:pPr>
                      <w:r w:rsidRPr="00992C2B">
                        <w:rPr>
                          <w:rStyle w:val="normaltextrun"/>
                          <w:rFonts w:asciiTheme="minorHAnsi" w:hAnsiTheme="minorHAnsi"/>
                          <w:b/>
                          <w:i/>
                          <w:color w:val="000000"/>
                          <w:sz w:val="22"/>
                          <w:szCs w:val="22"/>
                        </w:rPr>
                        <w:t xml:space="preserve">Question </w:t>
                      </w:r>
                      <w:r w:rsidR="00D93D25">
                        <w:rPr>
                          <w:rStyle w:val="normaltextrun"/>
                          <w:rFonts w:asciiTheme="minorHAnsi" w:hAnsiTheme="minorHAnsi"/>
                          <w:b/>
                          <w:i/>
                          <w:color w:val="000000"/>
                          <w:sz w:val="22"/>
                          <w:szCs w:val="22"/>
                        </w:rPr>
                        <w:t>7</w:t>
                      </w:r>
                      <w:r w:rsidRPr="00992C2B">
                        <w:rPr>
                          <w:rStyle w:val="normaltextrun"/>
                          <w:rFonts w:asciiTheme="minorHAnsi" w:hAnsiTheme="minorHAnsi"/>
                          <w:b/>
                          <w:i/>
                          <w:color w:val="000000"/>
                          <w:sz w:val="22"/>
                          <w:szCs w:val="22"/>
                        </w:rPr>
                        <w:t>a:</w:t>
                      </w:r>
                      <w:r w:rsidRPr="001D107F">
                        <w:rPr>
                          <w:rStyle w:val="normaltextrun"/>
                          <w:rFonts w:asciiTheme="minorHAnsi" w:hAnsiTheme="minorHAnsi"/>
                          <w:b/>
                          <w:i/>
                          <w:color w:val="000000"/>
                          <w:sz w:val="22"/>
                          <w:szCs w:val="22"/>
                        </w:rPr>
                        <w:t xml:space="preserve"> Do you concur with this approach</w:t>
                      </w:r>
                      <w:r w:rsidR="003116BA">
                        <w:rPr>
                          <w:rStyle w:val="normaltextrun"/>
                          <w:rFonts w:asciiTheme="minorHAnsi" w:hAnsiTheme="minorHAnsi"/>
                          <w:b/>
                          <w:i/>
                          <w:color w:val="000000"/>
                          <w:sz w:val="22"/>
                          <w:szCs w:val="22"/>
                        </w:rPr>
                        <w:t xml:space="preserve"> to invoicing</w:t>
                      </w:r>
                      <w:r w:rsidRPr="001D107F">
                        <w:rPr>
                          <w:rStyle w:val="normaltextrun"/>
                          <w:rFonts w:asciiTheme="minorHAnsi" w:hAnsiTheme="minorHAnsi"/>
                          <w:b/>
                          <w:i/>
                          <w:color w:val="000000"/>
                          <w:sz w:val="22"/>
                          <w:szCs w:val="22"/>
                        </w:rPr>
                        <w:t xml:space="preserve">? </w:t>
                      </w:r>
                    </w:p>
                    <w:p w:rsidRPr="004256F4" w:rsidR="00185AC3" w:rsidP="00FE15F7" w:rsidRDefault="00FE15F7" w14:paraId="0237C3EA" w14:textId="0223A95D">
                      <w:pPr>
                        <w:pStyle w:val="NormalWeb"/>
                        <w:shd w:val="clear" w:color="auto" w:fill="FFFFFF" w:themeFill="background1"/>
                        <w:spacing w:before="0" w:beforeAutospacing="0" w:after="120" w:afterAutospacing="0" w:line="276" w:lineRule="auto"/>
                        <w:textAlignment w:val="baseline"/>
                        <w:rPr>
                          <w:rStyle w:val="normaltextrun"/>
                          <w:rFonts w:asciiTheme="minorHAnsi" w:hAnsiTheme="minorHAnsi" w:cstheme="minorHAnsi"/>
                          <w:b/>
                          <w:i/>
                          <w:color w:val="000000"/>
                          <w:sz w:val="22"/>
                          <w:szCs w:val="22"/>
                        </w:rPr>
                      </w:pPr>
                      <w:r w:rsidRPr="00992C2B">
                        <w:rPr>
                          <w:rStyle w:val="normaltextrun"/>
                          <w:rFonts w:asciiTheme="minorHAnsi" w:hAnsiTheme="minorHAnsi"/>
                          <w:b/>
                          <w:i/>
                          <w:color w:val="000000"/>
                          <w:sz w:val="22"/>
                          <w:szCs w:val="22"/>
                        </w:rPr>
                        <w:t xml:space="preserve">Question </w:t>
                      </w:r>
                      <w:r w:rsidR="00D93D25">
                        <w:rPr>
                          <w:rStyle w:val="normaltextrun"/>
                          <w:rFonts w:asciiTheme="minorHAnsi" w:hAnsiTheme="minorHAnsi"/>
                          <w:b/>
                          <w:i/>
                          <w:color w:val="000000"/>
                          <w:sz w:val="22"/>
                          <w:szCs w:val="22"/>
                        </w:rPr>
                        <w:t>7</w:t>
                      </w:r>
                      <w:r w:rsidRPr="00992C2B">
                        <w:rPr>
                          <w:rStyle w:val="normaltextrun"/>
                          <w:rFonts w:asciiTheme="minorHAnsi" w:hAnsiTheme="minorHAnsi"/>
                          <w:b/>
                          <w:i/>
                          <w:color w:val="000000"/>
                          <w:sz w:val="22"/>
                          <w:szCs w:val="22"/>
                        </w:rPr>
                        <w:t>b</w:t>
                      </w:r>
                      <w:r w:rsidRPr="001D107F">
                        <w:rPr>
                          <w:rStyle w:val="normaltextrun"/>
                          <w:rFonts w:asciiTheme="minorHAnsi" w:hAnsiTheme="minorHAnsi"/>
                          <w:b/>
                          <w:i/>
                          <w:color w:val="000000"/>
                          <w:sz w:val="22"/>
                          <w:szCs w:val="22"/>
                        </w:rPr>
                        <w:t xml:space="preserve">: If not, what specific alternate approach do you recommend? Please provide a clear rationale and any additional </w:t>
                      </w:r>
                      <w:r w:rsidRPr="001D107F" w:rsidR="00500D93">
                        <w:rPr>
                          <w:rStyle w:val="normaltextrun"/>
                          <w:rFonts w:asciiTheme="minorHAnsi" w:hAnsiTheme="minorHAnsi"/>
                          <w:b/>
                          <w:i/>
                          <w:color w:val="000000"/>
                          <w:sz w:val="22"/>
                          <w:szCs w:val="22"/>
                        </w:rPr>
                        <w:t>details</w:t>
                      </w:r>
                      <w:r w:rsidRPr="001D107F">
                        <w:rPr>
                          <w:rStyle w:val="normaltextrun"/>
                          <w:rFonts w:asciiTheme="minorHAnsi" w:hAnsiTheme="minorHAnsi"/>
                          <w:b/>
                          <w:i/>
                          <w:color w:val="000000"/>
                          <w:sz w:val="22"/>
                          <w:szCs w:val="22"/>
                        </w:rPr>
                        <w:t xml:space="preserve"> you believe should be incorporated into the DSB’s a</w:t>
                      </w:r>
                      <w:r w:rsidRPr="001D107F" w:rsidR="00A06332">
                        <w:rPr>
                          <w:rStyle w:val="normaltextrun"/>
                          <w:rFonts w:asciiTheme="minorHAnsi" w:hAnsiTheme="minorHAnsi"/>
                          <w:b/>
                          <w:i/>
                          <w:color w:val="000000"/>
                          <w:sz w:val="22"/>
                          <w:szCs w:val="22"/>
                        </w:rPr>
                        <w:t>pproach</w:t>
                      </w:r>
                      <w:r w:rsidRPr="00FE15F7">
                        <w:rPr>
                          <w:rStyle w:val="normaltextrun"/>
                          <w:rFonts w:asciiTheme="minorHAnsi" w:hAnsiTheme="minorHAnsi"/>
                          <w:b/>
                          <w:bCs/>
                          <w:i/>
                          <w:iCs/>
                          <w:color w:val="000000"/>
                          <w:sz w:val="22"/>
                          <w:szCs w:val="22"/>
                        </w:rPr>
                        <w:t>.</w:t>
                      </w:r>
                    </w:p>
                  </w:txbxContent>
                </v:textbox>
                <w10:wrap type="square" anchorx="margin"/>
              </v:shape>
            </w:pict>
          </mc:Fallback>
        </mc:AlternateContent>
      </w:r>
      <w:bookmarkEnd w:id="536"/>
      <w:r w:rsidR="00F73E49">
        <w:t>Invoicing Approach</w:t>
      </w:r>
      <w:bookmarkEnd w:id="537"/>
      <w:bookmarkEnd w:id="538"/>
      <w:bookmarkEnd w:id="539"/>
      <w:bookmarkEnd w:id="540"/>
      <w:bookmarkEnd w:id="541"/>
      <w:bookmarkEnd w:id="542"/>
      <w:r w:rsidR="00F73E49">
        <w:t xml:space="preserve"> </w:t>
      </w:r>
    </w:p>
    <w:p w:rsidR="00F73E49" w:rsidP="00CD3ACC" w:rsidRDefault="00F73E49" w14:paraId="6FEC3E75" w14:textId="77777777">
      <w:pPr>
        <w:spacing w:before="240"/>
        <w:jc w:val="both"/>
        <w:rPr>
          <w:u w:val="single"/>
        </w:rPr>
      </w:pPr>
      <w:r>
        <w:rPr>
          <w:u w:val="single"/>
        </w:rPr>
        <w:t xml:space="preserve">Summary of Responses: </w:t>
      </w:r>
    </w:p>
    <w:p w:rsidR="00F73E49" w:rsidP="00AB4C9D" w:rsidRDefault="00F73E49" w14:paraId="5525087C" w14:textId="7428F680">
      <w:pPr>
        <w:jc w:val="both"/>
      </w:pPr>
      <w:r>
        <w:t>Respondents were asked to provide feedback on the DSB’s proposed invoicing approach, specifically that the DSB would invoice UPI users a single fixed amount on, or shortly in advance of, the User Agreement (UA) period to cover the entire UA period</w:t>
      </w:r>
      <w:r w:rsidR="006F14DD">
        <w:t xml:space="preserve">. </w:t>
      </w:r>
      <w:r w:rsidR="00976B3E">
        <w:t>This would occur</w:t>
      </w:r>
      <w:r>
        <w:t xml:space="preserve"> alongside a proposed adjustment mechanism to reconcile any differences</w:t>
      </w:r>
      <w:r w:rsidR="006F14DD">
        <w:t xml:space="preserve"> where a</w:t>
      </w:r>
      <w:r w:rsidRPr="006F14DD" w:rsidR="006F14DD">
        <w:t>ny differences between the DSB’s actual costs and the revenues received in the UA period will be reconciled after the DSB’s accounts for that period have been audited, with any surplus / deficit applied as an adjustment to the user fees for the year subsequent to the audited accounts being finalised</w:t>
      </w:r>
      <w:r>
        <w:t xml:space="preserve">. </w:t>
      </w:r>
    </w:p>
    <w:p w:rsidR="00F73E49" w:rsidP="00AB4C9D" w:rsidRDefault="00F73E49" w14:paraId="08C3722A" w14:textId="77777777">
      <w:pPr>
        <w:jc w:val="both"/>
      </w:pPr>
      <w:r>
        <w:t>25% of respondents agreed with the DSB’s proposal, 33% disagreed with the proposal and 42% remained silent. Of those that disagreed with the DSB’s proposal, the following alternate solutions were put forward:</w:t>
      </w:r>
    </w:p>
    <w:p w:rsidR="00F73E49" w:rsidP="00CD3ACC" w:rsidRDefault="00F73E49" w14:paraId="4CFF6510" w14:textId="77777777">
      <w:pPr>
        <w:pStyle w:val="ListParagraph"/>
        <w:numPr>
          <w:ilvl w:val="0"/>
          <w:numId w:val="11"/>
        </w:numPr>
        <w:spacing w:line="276" w:lineRule="auto"/>
        <w:contextualSpacing w:val="0"/>
        <w:jc w:val="both"/>
      </w:pPr>
      <w:r>
        <w:t xml:space="preserve">Trade repositories should have free access to all UPI data they require </w:t>
      </w:r>
    </w:p>
    <w:p w:rsidR="00F73E49" w:rsidP="00CD3ACC" w:rsidRDefault="00F73E49" w14:paraId="7CD4EC4D" w14:textId="77777777">
      <w:pPr>
        <w:pStyle w:val="ListParagraph"/>
        <w:numPr>
          <w:ilvl w:val="0"/>
          <w:numId w:val="11"/>
        </w:numPr>
        <w:spacing w:line="276" w:lineRule="auto"/>
        <w:contextualSpacing w:val="0"/>
        <w:jc w:val="both"/>
      </w:pPr>
      <w:r>
        <w:t xml:space="preserve">A preference for charges to be incurred and billed in arrears instead </w:t>
      </w:r>
    </w:p>
    <w:p w:rsidRPr="0089355D" w:rsidR="00F73E49" w:rsidP="00AB4C9D" w:rsidRDefault="00F73E49" w14:paraId="0F7A4FD8" w14:textId="77777777">
      <w:pPr>
        <w:jc w:val="both"/>
        <w:rPr>
          <w:u w:val="single"/>
        </w:rPr>
      </w:pPr>
      <w:r w:rsidRPr="0089355D">
        <w:rPr>
          <w:u w:val="single"/>
        </w:rPr>
        <w:t xml:space="preserve">DSB Proposal: </w:t>
      </w:r>
    </w:p>
    <w:p w:rsidR="00F73E49" w:rsidP="00AB4C9D" w:rsidRDefault="00F73E49" w14:paraId="6255CD56" w14:textId="6F346DCF">
      <w:pPr>
        <w:jc w:val="both"/>
      </w:pPr>
      <w:r>
        <w:t>Whilst acknowledging the understandable preferences for free data, and payment in arrears, the DSB proposal remains that fees should be paid in advance and should be allocated</w:t>
      </w:r>
      <w:r w:rsidRPr="00B65925">
        <w:t xml:space="preserve"> </w:t>
      </w:r>
      <w:r>
        <w:t>among stakeholders fairly, as currently implemented for the OTC ISIN service</w:t>
      </w:r>
      <w:r w:rsidR="004F60A1">
        <w:t xml:space="preserve"> </w:t>
      </w:r>
      <w:r>
        <w:t xml:space="preserve">.  </w:t>
      </w:r>
    </w:p>
    <w:p w:rsidR="00F73E49" w:rsidP="00AB4C9D" w:rsidRDefault="00F73E49" w14:paraId="10B33B1B" w14:textId="77777777">
      <w:pPr>
        <w:jc w:val="both"/>
      </w:pPr>
      <w:r>
        <w:t xml:space="preserve">Of most materiality in terms of the rationale for payment in advance, the DSB will have incurred costs for the full design, build, and implementation of the UPI service, including the upscaling of a significant number of process to onboard and manage the anticipated number of entities and individuals projected to use the service.  Payment in arrears could impede the DSB’s financial sustainability, including the ability to invest in other user approved requirements.  </w:t>
      </w:r>
    </w:p>
    <w:p w:rsidR="00F73E49" w:rsidP="00AB4C9D" w:rsidRDefault="00F73E49" w14:paraId="46EF2CA3" w14:textId="77777777">
      <w:pPr>
        <w:jc w:val="both"/>
      </w:pPr>
      <w:r>
        <w:t>Additionally, an underlying principle of the OTC ISIN Fee Model has been Payment in Advance, which has several key advantages for financial sustainability, over payment in arrears.</w:t>
      </w:r>
    </w:p>
    <w:p w:rsidRPr="0011124A" w:rsidR="00F73E49" w:rsidP="00AB4C9D" w:rsidRDefault="00F73E49" w14:paraId="60903B09" w14:textId="394DB42B">
      <w:pPr>
        <w:jc w:val="both"/>
      </w:pPr>
      <w:r>
        <w:t>This advanced yearly commitment offers the DSB more clarity in aligning fee levels with cost recovery</w:t>
      </w:r>
      <w:r w:rsidRPr="00D04A5A" w:rsidR="00D04A5A">
        <w:t xml:space="preserve"> </w:t>
      </w:r>
      <w:r w:rsidR="00D04A5A">
        <w:t>whilst ensuring the economic sustainability of the UPI service</w:t>
      </w:r>
      <w:r w:rsidR="002C34B0">
        <w:t xml:space="preserve"> </w:t>
      </w:r>
      <w:r w:rsidR="00440944">
        <w:t>with</w:t>
      </w:r>
      <w:r w:rsidR="00A47FAE">
        <w:t xml:space="preserve"> establishment of financial reserves</w:t>
      </w:r>
      <w:r>
        <w:t xml:space="preserve">, and for users, it provides improved ability to forecast their costs for </w:t>
      </w:r>
      <w:proofErr w:type="spellStart"/>
      <w:r>
        <w:t>utilising</w:t>
      </w:r>
      <w:proofErr w:type="spellEnd"/>
      <w:r>
        <w:t xml:space="preserve"> UPI services.</w:t>
      </w:r>
    </w:p>
    <w:p w:rsidR="00F73E49" w:rsidP="00AB4C9D" w:rsidRDefault="00F73E49" w14:paraId="1835AF99" w14:textId="77777777">
      <w:pPr>
        <w:jc w:val="both"/>
      </w:pPr>
    </w:p>
    <w:p w:rsidR="00F73E49" w:rsidP="00F73E49" w:rsidRDefault="00185AC3" w14:paraId="5E9E4690" w14:textId="53696055">
      <w:pPr>
        <w:pStyle w:val="Heading2"/>
        <w:spacing w:before="0" w:line="276" w:lineRule="auto"/>
      </w:pPr>
      <w:bookmarkStart w:name="_Ref57553191" w:id="543"/>
      <w:bookmarkStart w:name="_Ref57553207" w:id="544"/>
      <w:bookmarkStart w:name="_Toc60651794" w:id="545"/>
      <w:bookmarkStart w:name="_Toc69802003" w:id="546"/>
      <w:bookmarkStart w:name="_Toc71369597" w:id="547"/>
      <w:r>
        <w:rPr>
          <w:noProof/>
          <w:lang w:eastAsia="en-GB"/>
        </w:rPr>
        <mc:AlternateContent>
          <mc:Choice Requires="wps">
            <w:drawing>
              <wp:anchor distT="45720" distB="45720" distL="114300" distR="114300" simplePos="0" relativeHeight="251658248" behindDoc="0" locked="0" layoutInCell="1" allowOverlap="1" wp14:anchorId="70C5CBFA" wp14:editId="53C5AEF3">
                <wp:simplePos x="0" y="0"/>
                <wp:positionH relativeFrom="margin">
                  <wp:posOffset>0</wp:posOffset>
                </wp:positionH>
                <wp:positionV relativeFrom="paragraph">
                  <wp:posOffset>243205</wp:posOffset>
                </wp:positionV>
                <wp:extent cx="5716905" cy="2125980"/>
                <wp:effectExtent l="0" t="0" r="17145" b="2667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2125980"/>
                        </a:xfrm>
                        <a:prstGeom prst="rect">
                          <a:avLst/>
                        </a:prstGeom>
                        <a:solidFill>
                          <a:srgbClr val="FFFFFF"/>
                        </a:solidFill>
                        <a:ln w="9525">
                          <a:solidFill>
                            <a:srgbClr val="04AEB9"/>
                          </a:solidFill>
                          <a:miter lim="800000"/>
                          <a:headEnd/>
                          <a:tailEnd/>
                        </a:ln>
                      </wps:spPr>
                      <wps:txbx>
                        <w:txbxContent>
                          <w:p w:rsidR="001D107F" w:rsidP="00DE0D5C" w:rsidRDefault="00185AC3" w14:paraId="08A29F45" w14:textId="5E62ABBE">
                            <w:pPr>
                              <w:rPr>
                                <w:rStyle w:val="normaltextrun"/>
                                <w:rFonts w:ascii="Calibri" w:hAnsi="Calibri" w:cs="Calibri"/>
                                <w:b/>
                                <w:i/>
                                <w:color w:val="000000"/>
                              </w:rPr>
                            </w:pPr>
                            <w:r>
                              <w:rPr>
                                <w:rStyle w:val="normaltextrun"/>
                                <w:rFonts w:ascii="Calibri" w:hAnsi="Calibri" w:cs="Calibri"/>
                                <w:b/>
                                <w:bCs/>
                                <w:color w:val="000000"/>
                              </w:rPr>
                              <w:t>Summary:</w:t>
                            </w:r>
                            <w:r w:rsidR="00DE0D5C">
                              <w:rPr>
                                <w:rStyle w:val="normaltextrun"/>
                                <w:rFonts w:ascii="Calibri" w:hAnsi="Calibri" w:cs="Calibri"/>
                                <w:b/>
                                <w:color w:val="000000"/>
                              </w:rPr>
                              <w:t xml:space="preserve"> </w:t>
                            </w:r>
                            <w:r w:rsidR="00BB115B">
                              <w:rPr>
                                <w:rFonts w:cstheme="minorHAnsi"/>
                              </w:rPr>
                              <w:t xml:space="preserve">The DSB’s proposal for treatment of the </w:t>
                            </w:r>
                            <w:r w:rsidR="005A427A">
                              <w:rPr>
                                <w:rFonts w:cstheme="minorHAnsi"/>
                              </w:rPr>
                              <w:t>repa</w:t>
                            </w:r>
                            <w:r w:rsidR="00975FD1">
                              <w:rPr>
                                <w:rFonts w:cstheme="minorHAnsi"/>
                              </w:rPr>
                              <w:t xml:space="preserve">yment of capital expenditure (Capex) </w:t>
                            </w:r>
                            <w:r w:rsidR="00FE17C0">
                              <w:rPr>
                                <w:rFonts w:cstheme="minorHAnsi"/>
                              </w:rPr>
                              <w:t xml:space="preserve">is to remain consistent with standard industry practice for projects of this size and nature, which </w:t>
                            </w:r>
                            <w:r w:rsidR="008D0790">
                              <w:rPr>
                                <w:rFonts w:cstheme="minorHAnsi"/>
                              </w:rPr>
                              <w:t>is</w:t>
                            </w:r>
                            <w:r w:rsidR="00FE17C0">
                              <w:rPr>
                                <w:rFonts w:cstheme="minorHAnsi"/>
                              </w:rPr>
                              <w:t xml:space="preserve"> a repayment period of </w:t>
                            </w:r>
                            <w:r w:rsidR="00130E9B">
                              <w:rPr>
                                <w:rFonts w:cstheme="minorHAnsi"/>
                              </w:rPr>
                              <w:t xml:space="preserve">four years.  This approach is consistent with the </w:t>
                            </w:r>
                            <w:r w:rsidR="008D0790">
                              <w:rPr>
                                <w:rFonts w:cstheme="minorHAnsi"/>
                              </w:rPr>
                              <w:t>DSB’s existing practice for existing services</w:t>
                            </w:r>
                            <w:r w:rsidR="00130E9B">
                              <w:rPr>
                                <w:rFonts w:cstheme="minorHAnsi"/>
                              </w:rPr>
                              <w:t>.</w:t>
                            </w:r>
                          </w:p>
                          <w:p w:rsidRPr="001D107F" w:rsidR="00B83A91" w:rsidP="00B83A91" w:rsidRDefault="00B83A91" w14:paraId="448EC663" w14:textId="19EA13C2">
                            <w:pPr>
                              <w:pStyle w:val="NormalWeb"/>
                              <w:shd w:val="clear" w:color="auto" w:fill="FFFFFF" w:themeFill="background1"/>
                              <w:spacing w:after="120" w:line="276" w:lineRule="auto"/>
                              <w:textAlignment w:val="baseline"/>
                              <w:rPr>
                                <w:rStyle w:val="normaltextrun"/>
                                <w:rFonts w:asciiTheme="minorHAnsi" w:hAnsiTheme="minorHAnsi"/>
                                <w:b/>
                                <w:i/>
                                <w:color w:val="000000"/>
                                <w:sz w:val="22"/>
                                <w:szCs w:val="22"/>
                              </w:rPr>
                            </w:pPr>
                            <w:r w:rsidRPr="001D107F">
                              <w:rPr>
                                <w:rStyle w:val="normaltextrun"/>
                                <w:rFonts w:asciiTheme="minorHAnsi" w:hAnsiTheme="minorHAnsi"/>
                                <w:b/>
                                <w:i/>
                                <w:color w:val="000000"/>
                                <w:sz w:val="22"/>
                                <w:szCs w:val="22"/>
                              </w:rPr>
                              <w:t xml:space="preserve">Question </w:t>
                            </w:r>
                            <w:r w:rsidR="00D93D25">
                              <w:rPr>
                                <w:rStyle w:val="normaltextrun"/>
                                <w:rFonts w:asciiTheme="minorHAnsi" w:hAnsiTheme="minorHAnsi"/>
                                <w:b/>
                                <w:i/>
                                <w:color w:val="000000"/>
                                <w:sz w:val="22"/>
                                <w:szCs w:val="22"/>
                              </w:rPr>
                              <w:t>8</w:t>
                            </w:r>
                            <w:r w:rsidRPr="001D107F">
                              <w:rPr>
                                <w:rStyle w:val="normaltextrun"/>
                                <w:rFonts w:asciiTheme="minorHAnsi" w:hAnsiTheme="minorHAnsi"/>
                                <w:b/>
                                <w:i/>
                                <w:color w:val="000000"/>
                                <w:sz w:val="22"/>
                                <w:szCs w:val="22"/>
                              </w:rPr>
                              <w:t>a: Do you concur with this approach</w:t>
                            </w:r>
                            <w:r w:rsidR="003116BA">
                              <w:rPr>
                                <w:rStyle w:val="normaltextrun"/>
                                <w:rFonts w:asciiTheme="minorHAnsi" w:hAnsiTheme="minorHAnsi"/>
                                <w:b/>
                                <w:i/>
                                <w:color w:val="000000"/>
                                <w:sz w:val="22"/>
                                <w:szCs w:val="22"/>
                              </w:rPr>
                              <w:t xml:space="preserve"> to amortisation of capital expend</w:t>
                            </w:r>
                            <w:r w:rsidR="00EA21DD">
                              <w:rPr>
                                <w:rStyle w:val="normaltextrun"/>
                                <w:rFonts w:asciiTheme="minorHAnsi" w:hAnsiTheme="minorHAnsi"/>
                                <w:b/>
                                <w:i/>
                                <w:color w:val="000000"/>
                                <w:sz w:val="22"/>
                                <w:szCs w:val="22"/>
                              </w:rPr>
                              <w:t>iture</w:t>
                            </w:r>
                            <w:r w:rsidRPr="001D107F">
                              <w:rPr>
                                <w:rStyle w:val="normaltextrun"/>
                                <w:rFonts w:asciiTheme="minorHAnsi" w:hAnsiTheme="minorHAnsi"/>
                                <w:b/>
                                <w:i/>
                                <w:color w:val="000000"/>
                                <w:sz w:val="22"/>
                                <w:szCs w:val="22"/>
                              </w:rPr>
                              <w:t xml:space="preserve">? </w:t>
                            </w:r>
                          </w:p>
                          <w:p w:rsidRPr="001D107F" w:rsidR="00185AC3" w:rsidP="00185AC3" w:rsidRDefault="00B83A91" w14:paraId="345DA200" w14:textId="01B3F5ED">
                            <w:pPr>
                              <w:rPr>
                                <w:rStyle w:val="normaltextrun"/>
                                <w:rFonts w:cstheme="minorHAnsi"/>
                                <w:b/>
                                <w:color w:val="0070C0"/>
                                <w:lang w:eastAsia="ja-JP"/>
                              </w:rPr>
                            </w:pPr>
                            <w:r w:rsidRPr="001D107F">
                              <w:rPr>
                                <w:rStyle w:val="normaltextrun"/>
                                <w:b/>
                                <w:i/>
                                <w:color w:val="000000"/>
                              </w:rPr>
                              <w:t xml:space="preserve">Question </w:t>
                            </w:r>
                            <w:r w:rsidR="00D93D25">
                              <w:rPr>
                                <w:rStyle w:val="normaltextrun"/>
                                <w:b/>
                                <w:i/>
                                <w:color w:val="000000"/>
                              </w:rPr>
                              <w:t>8</w:t>
                            </w:r>
                            <w:r w:rsidRPr="001D107F">
                              <w:rPr>
                                <w:rStyle w:val="normaltextrun"/>
                                <w:b/>
                                <w:i/>
                                <w:color w:val="000000"/>
                              </w:rPr>
                              <w:t xml:space="preserve">b: If not, what specific alternate approach do you recommend? Please provide a clear rationale and  any additional </w:t>
                            </w:r>
                            <w:r w:rsidRPr="001D107F" w:rsidR="00582BF5">
                              <w:rPr>
                                <w:rStyle w:val="normaltextrun"/>
                                <w:b/>
                                <w:i/>
                                <w:color w:val="000000"/>
                              </w:rPr>
                              <w:t>details</w:t>
                            </w:r>
                            <w:r w:rsidRPr="001D107F">
                              <w:rPr>
                                <w:rStyle w:val="normaltextrun"/>
                                <w:b/>
                                <w:i/>
                                <w:color w:val="000000"/>
                              </w:rPr>
                              <w:t xml:space="preserve"> you believe</w:t>
                            </w:r>
                            <w:r w:rsidRPr="001D107F" w:rsidR="00A06332">
                              <w:rPr>
                                <w:rStyle w:val="normaltextrun"/>
                                <w:b/>
                                <w:i/>
                                <w:color w:val="000000"/>
                              </w:rPr>
                              <w:t xml:space="preserve"> should be incorporated into the DSB’s approach.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9199041">
              <v:shape id="Text Box 28" style="position:absolute;left:0;text-align:left;margin-left:0;margin-top:19.15pt;width:450.15pt;height:167.4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5" strokecolor="#04aeb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" w14:anchorId="70C5CBFA">
                <v:textbox>
                  <w:txbxContent>
                    <w:p w:rsidR="001D107F" w:rsidP="00DE0D5C" w:rsidRDefault="00185AC3" w14:paraId="21B15379" w14:textId="5E62ABBE">
                      <w:pPr>
                        <w:rPr>
                          <w:rStyle w:val="normaltextrun"/>
                          <w:rFonts w:ascii="Calibri" w:hAnsi="Calibri" w:cs="Calibri"/>
                          <w:b/>
                          <w:i/>
                          <w:color w:val="000000"/>
                        </w:rPr>
                      </w:pPr>
                      <w:r>
                        <w:rPr>
                          <w:rStyle w:val="normaltextrun"/>
                          <w:rFonts w:ascii="Calibri" w:hAnsi="Calibri" w:cs="Calibri"/>
                          <w:b/>
                          <w:bCs/>
                          <w:color w:val="000000"/>
                        </w:rPr>
                        <w:t>Summary:</w:t>
                      </w:r>
                      <w:r w:rsidR="00DE0D5C">
                        <w:rPr>
                          <w:rStyle w:val="normaltextrun"/>
                          <w:rFonts w:ascii="Calibri" w:hAnsi="Calibri" w:cs="Calibri"/>
                          <w:b/>
                          <w:color w:val="000000"/>
                        </w:rPr>
                        <w:t xml:space="preserve"> </w:t>
                      </w:r>
                      <w:r w:rsidR="00BB115B">
                        <w:rPr>
                          <w:rFonts w:cstheme="minorHAnsi"/>
                        </w:rPr>
                        <w:t xml:space="preserve">The DSB’s proposal for treatment of the </w:t>
                      </w:r>
                      <w:r w:rsidR="005A427A">
                        <w:rPr>
                          <w:rFonts w:cstheme="minorHAnsi"/>
                        </w:rPr>
                        <w:t>repa</w:t>
                      </w:r>
                      <w:r w:rsidR="00975FD1">
                        <w:rPr>
                          <w:rFonts w:cstheme="minorHAnsi"/>
                        </w:rPr>
                        <w:t xml:space="preserve">yment of capital expenditure (Capex) </w:t>
                      </w:r>
                      <w:r w:rsidR="00FE17C0">
                        <w:rPr>
                          <w:rFonts w:cstheme="minorHAnsi"/>
                        </w:rPr>
                        <w:t xml:space="preserve">is to remain consistent with standard industry practice for projects of this size and nature, which </w:t>
                      </w:r>
                      <w:r w:rsidR="008D0790">
                        <w:rPr>
                          <w:rFonts w:cstheme="minorHAnsi"/>
                        </w:rPr>
                        <w:t>is</w:t>
                      </w:r>
                      <w:r w:rsidR="00FE17C0">
                        <w:rPr>
                          <w:rFonts w:cstheme="minorHAnsi"/>
                        </w:rPr>
                        <w:t xml:space="preserve"> a repayment period of </w:t>
                      </w:r>
                      <w:r w:rsidR="00130E9B">
                        <w:rPr>
                          <w:rFonts w:cstheme="minorHAnsi"/>
                        </w:rPr>
                        <w:t xml:space="preserve">four years.  This approach is consistent with the </w:t>
                      </w:r>
                      <w:r w:rsidR="008D0790">
                        <w:rPr>
                          <w:rFonts w:cstheme="minorHAnsi"/>
                        </w:rPr>
                        <w:t>DSB’s existing practice for existing services</w:t>
                      </w:r>
                      <w:r w:rsidR="00130E9B">
                        <w:rPr>
                          <w:rFonts w:cstheme="minorHAnsi"/>
                        </w:rPr>
                        <w:t>.</w:t>
                      </w:r>
                    </w:p>
                    <w:p w:rsidRPr="001D107F" w:rsidR="00B83A91" w:rsidP="00B83A91" w:rsidRDefault="00B83A91" w14:paraId="09E19477" w14:textId="19EA13C2">
                      <w:pPr>
                        <w:pStyle w:val="NormalWeb"/>
                        <w:shd w:val="clear" w:color="auto" w:fill="FFFFFF" w:themeFill="background1"/>
                        <w:spacing w:after="120" w:line="276" w:lineRule="auto"/>
                        <w:textAlignment w:val="baseline"/>
                        <w:rPr>
                          <w:rStyle w:val="normaltextrun"/>
                          <w:rFonts w:asciiTheme="minorHAnsi" w:hAnsiTheme="minorHAnsi"/>
                          <w:b/>
                          <w:i/>
                          <w:color w:val="000000"/>
                          <w:sz w:val="22"/>
                          <w:szCs w:val="22"/>
                        </w:rPr>
                      </w:pPr>
                      <w:r w:rsidRPr="001D107F">
                        <w:rPr>
                          <w:rStyle w:val="normaltextrun"/>
                          <w:rFonts w:asciiTheme="minorHAnsi" w:hAnsiTheme="minorHAnsi"/>
                          <w:b/>
                          <w:i/>
                          <w:color w:val="000000"/>
                          <w:sz w:val="22"/>
                          <w:szCs w:val="22"/>
                        </w:rPr>
                        <w:t xml:space="preserve">Question </w:t>
                      </w:r>
                      <w:r w:rsidR="00D93D25">
                        <w:rPr>
                          <w:rStyle w:val="normaltextrun"/>
                          <w:rFonts w:asciiTheme="minorHAnsi" w:hAnsiTheme="minorHAnsi"/>
                          <w:b/>
                          <w:i/>
                          <w:color w:val="000000"/>
                          <w:sz w:val="22"/>
                          <w:szCs w:val="22"/>
                        </w:rPr>
                        <w:t>8</w:t>
                      </w:r>
                      <w:r w:rsidRPr="001D107F">
                        <w:rPr>
                          <w:rStyle w:val="normaltextrun"/>
                          <w:rFonts w:asciiTheme="minorHAnsi" w:hAnsiTheme="minorHAnsi"/>
                          <w:b/>
                          <w:i/>
                          <w:color w:val="000000"/>
                          <w:sz w:val="22"/>
                          <w:szCs w:val="22"/>
                        </w:rPr>
                        <w:t>a: Do you concur with this approach</w:t>
                      </w:r>
                      <w:r w:rsidR="003116BA">
                        <w:rPr>
                          <w:rStyle w:val="normaltextrun"/>
                          <w:rFonts w:asciiTheme="minorHAnsi" w:hAnsiTheme="minorHAnsi"/>
                          <w:b/>
                          <w:i/>
                          <w:color w:val="000000"/>
                          <w:sz w:val="22"/>
                          <w:szCs w:val="22"/>
                        </w:rPr>
                        <w:t xml:space="preserve"> to amortisation of capital expend</w:t>
                      </w:r>
                      <w:r w:rsidR="00EA21DD">
                        <w:rPr>
                          <w:rStyle w:val="normaltextrun"/>
                          <w:rFonts w:asciiTheme="minorHAnsi" w:hAnsiTheme="minorHAnsi"/>
                          <w:b/>
                          <w:i/>
                          <w:color w:val="000000"/>
                          <w:sz w:val="22"/>
                          <w:szCs w:val="22"/>
                        </w:rPr>
                        <w:t>iture</w:t>
                      </w:r>
                      <w:r w:rsidRPr="001D107F">
                        <w:rPr>
                          <w:rStyle w:val="normaltextrun"/>
                          <w:rFonts w:asciiTheme="minorHAnsi" w:hAnsiTheme="minorHAnsi"/>
                          <w:b/>
                          <w:i/>
                          <w:color w:val="000000"/>
                          <w:sz w:val="22"/>
                          <w:szCs w:val="22"/>
                        </w:rPr>
                        <w:t xml:space="preserve">? </w:t>
                      </w:r>
                    </w:p>
                    <w:p w:rsidRPr="001D107F" w:rsidR="00185AC3" w:rsidP="00185AC3" w:rsidRDefault="00B83A91" w14:paraId="00A3972F" w14:textId="01B3F5ED">
                      <w:pPr>
                        <w:rPr>
                          <w:rStyle w:val="normaltextrun"/>
                          <w:rFonts w:cstheme="minorHAnsi"/>
                          <w:b/>
                          <w:color w:val="0070C0"/>
                          <w:lang w:eastAsia="ja-JP"/>
                        </w:rPr>
                      </w:pPr>
                      <w:r w:rsidRPr="001D107F">
                        <w:rPr>
                          <w:rStyle w:val="normaltextrun"/>
                          <w:b/>
                          <w:i/>
                          <w:color w:val="000000"/>
                        </w:rPr>
                        <w:t xml:space="preserve">Question </w:t>
                      </w:r>
                      <w:r w:rsidR="00D93D25">
                        <w:rPr>
                          <w:rStyle w:val="normaltextrun"/>
                          <w:b/>
                          <w:i/>
                          <w:color w:val="000000"/>
                        </w:rPr>
                        <w:t>8</w:t>
                      </w:r>
                      <w:r w:rsidRPr="001D107F">
                        <w:rPr>
                          <w:rStyle w:val="normaltextrun"/>
                          <w:b/>
                          <w:i/>
                          <w:color w:val="000000"/>
                        </w:rPr>
                        <w:t xml:space="preserve">b: If not, what specific alternate approach do you recommend? Please provide a clear rationale and  any additional </w:t>
                      </w:r>
                      <w:r w:rsidRPr="001D107F" w:rsidR="00582BF5">
                        <w:rPr>
                          <w:rStyle w:val="normaltextrun"/>
                          <w:b/>
                          <w:i/>
                          <w:color w:val="000000"/>
                        </w:rPr>
                        <w:t>details</w:t>
                      </w:r>
                      <w:r w:rsidRPr="001D107F">
                        <w:rPr>
                          <w:rStyle w:val="normaltextrun"/>
                          <w:b/>
                          <w:i/>
                          <w:color w:val="000000"/>
                        </w:rPr>
                        <w:t xml:space="preserve"> you believe</w:t>
                      </w:r>
                      <w:r w:rsidRPr="001D107F" w:rsidR="00A06332">
                        <w:rPr>
                          <w:rStyle w:val="normaltextrun"/>
                          <w:b/>
                          <w:i/>
                          <w:color w:val="000000"/>
                        </w:rPr>
                        <w:t xml:space="preserve"> should be incorporated into the DSB’s approach.</w:t>
                      </w:r>
                    </w:p>
                  </w:txbxContent>
                </v:textbox>
                <w10:wrap type="square" anchorx="margin"/>
              </v:shape>
            </w:pict>
          </mc:Fallback>
        </mc:AlternateContent>
      </w:r>
      <w:r w:rsidR="00F73E49">
        <w:t>Capital Expenditure Amortisation Approach</w:t>
      </w:r>
      <w:bookmarkEnd w:id="543"/>
      <w:bookmarkEnd w:id="544"/>
      <w:bookmarkEnd w:id="545"/>
      <w:bookmarkEnd w:id="546"/>
      <w:bookmarkEnd w:id="547"/>
      <w:r w:rsidR="00F73E49">
        <w:t xml:space="preserve">  </w:t>
      </w:r>
    </w:p>
    <w:p w:rsidR="00F73E49" w:rsidP="00AB4C9D" w:rsidRDefault="00F73E49" w14:paraId="7905F52D" w14:textId="77777777">
      <w:pPr>
        <w:spacing w:before="240"/>
        <w:jc w:val="both"/>
        <w:rPr>
          <w:u w:val="single"/>
        </w:rPr>
      </w:pPr>
      <w:r>
        <w:rPr>
          <w:u w:val="single"/>
        </w:rPr>
        <w:t xml:space="preserve">Summary of Responses: </w:t>
      </w:r>
    </w:p>
    <w:p w:rsidR="00F73E49" w:rsidP="00AB4C9D" w:rsidRDefault="00F73E49" w14:paraId="749BAAA4" w14:textId="77777777">
      <w:pPr>
        <w:spacing w:before="240"/>
        <w:jc w:val="both"/>
      </w:pPr>
      <w:r>
        <w:t xml:space="preserve">Respondents were asked for feedback on the DSB’s proposal to </w:t>
      </w:r>
      <w:proofErr w:type="spellStart"/>
      <w:r>
        <w:t>amortise</w:t>
      </w:r>
      <w:proofErr w:type="spellEnd"/>
      <w:r>
        <w:t xml:space="preserve"> its capital expenditure over 4 years, starting from the first full year when the service benefits from the capital expenditure. 42% of respondents agreed, most seeking additional transparency on cost drivers (in line with the DSB’s commitment to provide in this second round of consultation), and one respondent suggesting that the DSB utilize either the stated 4-year approach or extend the capitalization period to 6 years instead. </w:t>
      </w:r>
    </w:p>
    <w:p w:rsidRPr="00FB621B" w:rsidR="00F73E49" w:rsidP="00AB4C9D" w:rsidRDefault="00F73E49" w14:paraId="12EE59FB" w14:textId="77777777">
      <w:pPr>
        <w:spacing w:before="240"/>
        <w:jc w:val="both"/>
        <w:rPr>
          <w:u w:val="single"/>
        </w:rPr>
      </w:pPr>
      <w:r w:rsidRPr="00FB621B">
        <w:rPr>
          <w:u w:val="single"/>
        </w:rPr>
        <w:t xml:space="preserve">DSB Proposal: </w:t>
      </w:r>
    </w:p>
    <w:p w:rsidRPr="0084113E" w:rsidR="00F73E49" w:rsidP="00CD3ACC" w:rsidRDefault="00F73E49" w14:paraId="5CFEA429" w14:textId="77777777">
      <w:pPr>
        <w:rPr>
          <w:rStyle w:val="normaltextrun"/>
          <w:rFonts w:ascii="Calibri" w:hAnsi="Calibri" w:cs="Calibri"/>
          <w:color w:val="000000"/>
        </w:rPr>
      </w:pPr>
      <w:r>
        <w:rPr>
          <w:rStyle w:val="normaltextrun"/>
          <w:rFonts w:ascii="Calibri" w:hAnsi="Calibri" w:cs="Calibri"/>
          <w:color w:val="000000"/>
        </w:rPr>
        <w:t xml:space="preserve">As a reminder, the DSB had proposed to </w:t>
      </w:r>
      <w:r w:rsidRPr="0084113E">
        <w:rPr>
          <w:rStyle w:val="normaltextrun"/>
          <w:rFonts w:ascii="Calibri" w:hAnsi="Calibri" w:cs="Calibri"/>
          <w:color w:val="000000"/>
        </w:rPr>
        <w:t>treat the cost of the initial build and any subsequent investment in system enhancements as capital expenditure and will amortize these costs over a number of years, as per generally accepted accounting principles.</w:t>
      </w:r>
    </w:p>
    <w:p w:rsidR="00F73E49" w:rsidP="00AB4C9D" w:rsidRDefault="00F73E49" w14:paraId="2FEC98A7" w14:textId="5BD424D3">
      <w:pPr>
        <w:rPr>
          <w:rStyle w:val="normaltextrun"/>
          <w:rFonts w:ascii="Calibri" w:hAnsi="Calibri" w:cs="Calibri"/>
          <w:color w:val="000000"/>
        </w:rPr>
      </w:pPr>
      <w:r>
        <w:rPr>
          <w:rStyle w:val="normaltextrun"/>
          <w:rFonts w:ascii="Calibri" w:hAnsi="Calibri" w:cs="Calibri"/>
          <w:color w:val="000000"/>
        </w:rPr>
        <w:t>Specifically, t</w:t>
      </w:r>
      <w:r w:rsidRPr="0084113E">
        <w:rPr>
          <w:rStyle w:val="normaltextrun"/>
          <w:rFonts w:ascii="Calibri" w:hAnsi="Calibri" w:cs="Calibri"/>
          <w:color w:val="000000"/>
        </w:rPr>
        <w:t xml:space="preserve">he DSB </w:t>
      </w:r>
      <w:r>
        <w:rPr>
          <w:rStyle w:val="normaltextrun"/>
          <w:rFonts w:ascii="Calibri" w:hAnsi="Calibri" w:cs="Calibri"/>
          <w:color w:val="000000"/>
        </w:rPr>
        <w:t xml:space="preserve">had (in the prior consultation paper) </w:t>
      </w:r>
      <w:r w:rsidRPr="0084113E">
        <w:rPr>
          <w:rStyle w:val="normaltextrun"/>
          <w:rFonts w:ascii="Calibri" w:hAnsi="Calibri" w:cs="Calibri"/>
          <w:color w:val="000000"/>
        </w:rPr>
        <w:t>propose</w:t>
      </w:r>
      <w:r>
        <w:rPr>
          <w:rStyle w:val="normaltextrun"/>
          <w:rFonts w:ascii="Calibri" w:hAnsi="Calibri" w:cs="Calibri"/>
          <w:color w:val="000000"/>
        </w:rPr>
        <w:t>d</w:t>
      </w:r>
      <w:r w:rsidRPr="0084113E">
        <w:rPr>
          <w:rStyle w:val="normaltextrun"/>
          <w:rFonts w:ascii="Calibri" w:hAnsi="Calibri" w:cs="Calibri"/>
          <w:color w:val="000000"/>
        </w:rPr>
        <w:t xml:space="preserve"> to amortize the capital expenditures over 4 years, starting from the first full year when the service benefits from the capital expenditure. This approach is consistent with the DSB’s existing capital expenditure policy.</w:t>
      </w:r>
    </w:p>
    <w:p w:rsidRPr="0084113E" w:rsidR="00F73E49" w:rsidP="00AB4C9D" w:rsidRDefault="00F73E49" w14:paraId="22A91DC1" w14:textId="77777777">
      <w:pPr>
        <w:rPr>
          <w:rStyle w:val="normaltextrun"/>
          <w:rFonts w:ascii="Calibri" w:hAnsi="Calibri" w:cs="Calibri"/>
          <w:color w:val="000000"/>
        </w:rPr>
      </w:pPr>
    </w:p>
    <w:p w:rsidR="00F73E49" w:rsidP="00F73E49" w:rsidRDefault="00F73E49" w14:paraId="4CE73BD8" w14:textId="77777777">
      <w:pPr>
        <w:pStyle w:val="Heading2"/>
        <w:spacing w:before="0" w:line="276" w:lineRule="auto"/>
      </w:pPr>
      <w:bookmarkStart w:name="_Toc69802004" w:id="548"/>
      <w:bookmarkStart w:name="_Toc71369598" w:id="549"/>
      <w:bookmarkStart w:name="_Toc60651795" w:id="550"/>
      <w:r>
        <w:t>Additional Feedback Received</w:t>
      </w:r>
      <w:bookmarkEnd w:id="548"/>
      <w:bookmarkEnd w:id="549"/>
      <w:r>
        <w:t xml:space="preserve"> </w:t>
      </w:r>
    </w:p>
    <w:p w:rsidR="00F73E49" w:rsidP="00CD3ACC" w:rsidRDefault="00F73E49" w14:paraId="5DEFB94A" w14:textId="77777777">
      <w:r>
        <w:t>Respondents were encouraged to provide any additional commentary should they wish. 42% of respondents provided additional comments and 58% of respondents were silent. Feedback (where provided) was wide ranging and included the following highlights:</w:t>
      </w:r>
    </w:p>
    <w:p w:rsidR="00F73E49" w:rsidP="00CD3ACC" w:rsidRDefault="00F73E49" w14:paraId="50A43455" w14:textId="77777777">
      <w:pPr>
        <w:pStyle w:val="ListParagraph"/>
        <w:numPr>
          <w:ilvl w:val="0"/>
          <w:numId w:val="30"/>
        </w:numPr>
        <w:ind w:left="714" w:hanging="357"/>
        <w:contextualSpacing w:val="0"/>
      </w:pPr>
      <w:r>
        <w:t>That the API call (made by DSB UPI users) include an identifier for a paying user so their license level can be validated by DSB. This would be preferable to the requirement of using each clients’ credentials. It would also ensure that the client’s license level is managed by DSB.</w:t>
      </w:r>
    </w:p>
    <w:p w:rsidR="00F73E49" w:rsidP="00CD3ACC" w:rsidRDefault="00F73E49" w14:paraId="467882A9" w14:textId="7F197F91">
      <w:pPr>
        <w:pStyle w:val="ListParagraph"/>
        <w:numPr>
          <w:ilvl w:val="0"/>
          <w:numId w:val="30"/>
        </w:numPr>
        <w:ind w:left="714" w:hanging="357"/>
        <w:contextualSpacing w:val="0"/>
      </w:pPr>
      <w:r>
        <w:tab/>
      </w:r>
      <w:r>
        <w:t xml:space="preserve">That access to the latest UPI reference library should be open to all on a timely basis and free from fee related delays. The DSB should look to offer UPI on a similar basis to the availability of LEI data. Charging, if needed at all for the UPI, should be focused on issuance and on the provision of added value services and/or advanced connectivity options. </w:t>
      </w:r>
    </w:p>
    <w:p w:rsidR="00F73E49" w:rsidP="00CD3ACC" w:rsidRDefault="00F73E49" w14:paraId="183968CF" w14:textId="77777777">
      <w:pPr>
        <w:pStyle w:val="ListParagraph"/>
        <w:numPr>
          <w:ilvl w:val="0"/>
          <w:numId w:val="30"/>
        </w:numPr>
        <w:ind w:left="714" w:hanging="357"/>
        <w:contextualSpacing w:val="0"/>
      </w:pPr>
      <w:r>
        <w:tab/>
      </w:r>
      <w:r>
        <w:t xml:space="preserve">Some respondents sought greater user oversight of DSB commercial and contractual terms. </w:t>
      </w:r>
    </w:p>
    <w:p w:rsidR="00F73E49" w:rsidP="00CD3ACC" w:rsidRDefault="00F73E49" w14:paraId="6D7697C0" w14:textId="71C517BF">
      <w:r>
        <w:t>The DSB is evaluating</w:t>
      </w:r>
      <w:r w:rsidR="00CD3ACC">
        <w:t xml:space="preserve"> </w:t>
      </w:r>
      <w:r>
        <w:t>such industry feedback and will provide an update in the next consultation paper, with items put forward to the TAC where relevant. Notably, the DSB has already announced its intention to conduct a separate round of consultation focusing on the access and usage terms for the UPI.</w:t>
      </w:r>
    </w:p>
    <w:p w:rsidRPr="008E0CBD" w:rsidR="00F73E49" w:rsidP="00F73E49" w:rsidRDefault="00F73E49" w14:paraId="79A896AF" w14:textId="77777777"/>
    <w:p w:rsidR="00F73E49" w:rsidP="00F73E49" w:rsidRDefault="00F73E49" w14:paraId="53A9B42E" w14:textId="77777777">
      <w:pPr>
        <w:pStyle w:val="Heading2"/>
        <w:spacing w:before="0" w:line="276" w:lineRule="auto"/>
      </w:pPr>
      <w:bookmarkStart w:name="_Toc69802005" w:id="551"/>
      <w:bookmarkStart w:name="_Toc71369599" w:id="552"/>
      <w:r>
        <w:t>Any other comments</w:t>
      </w:r>
      <w:bookmarkEnd w:id="550"/>
      <w:bookmarkEnd w:id="551"/>
      <w:bookmarkEnd w:id="552"/>
      <w:r>
        <w:t xml:space="preserve">   </w:t>
      </w:r>
    </w:p>
    <w:p w:rsidRPr="002D69AC" w:rsidR="00F73E49" w:rsidP="00AB4C9D" w:rsidRDefault="00F73E49" w14:paraId="30722540" w14:textId="77777777">
      <w:pPr>
        <w:jc w:val="both"/>
      </w:pPr>
      <w:r>
        <w:t xml:space="preserve">This section is an opportunity for respondents to provide feedback and commentary on any other aspects they believe should be considered. </w:t>
      </w:r>
    </w:p>
    <w:p w:rsidR="00F73E49" w:rsidP="00AB4C9D" w:rsidRDefault="00F73E49" w14:paraId="260BC83E" w14:textId="77777777">
      <w:pPr>
        <w:jc w:val="both"/>
        <w:rPr>
          <w:rFonts w:asciiTheme="majorHAnsi" w:hAnsiTheme="majorHAnsi" w:eastAsiaTheme="majorEastAsia" w:cstheme="majorBidi"/>
          <w:color w:val="30AEB9"/>
          <w:sz w:val="32"/>
          <w:szCs w:val="32"/>
        </w:rPr>
      </w:pPr>
      <w:r>
        <w:rPr>
          <w:color w:val="30AEB9"/>
        </w:rPr>
        <w:br w:type="page"/>
      </w:r>
    </w:p>
    <w:p w:rsidRPr="003B1848" w:rsidR="00F73E49" w:rsidP="00F73E49" w:rsidRDefault="00F73E49" w14:paraId="2D0DAAA5" w14:textId="6B8DEAD9">
      <w:pPr>
        <w:pStyle w:val="Heading1"/>
        <w:spacing w:before="0" w:line="276" w:lineRule="auto"/>
        <w:jc w:val="both"/>
        <w:rPr>
          <w:color w:val="30AEB9"/>
        </w:rPr>
      </w:pPr>
      <w:bookmarkStart w:name="_Ref68600748" w:id="553"/>
      <w:bookmarkStart w:name="_Toc69802006" w:id="554"/>
      <w:bookmarkStart w:name="_Toc71369600" w:id="555"/>
      <w:r w:rsidRPr="003B1848">
        <w:rPr>
          <w:color w:val="30AEB9"/>
        </w:rPr>
        <w:t>Appendices</w:t>
      </w:r>
      <w:bookmarkEnd w:id="3"/>
      <w:bookmarkEnd w:id="4"/>
      <w:bookmarkEnd w:id="5"/>
      <w:bookmarkEnd w:id="553"/>
      <w:bookmarkEnd w:id="554"/>
      <w:bookmarkEnd w:id="555"/>
    </w:p>
    <w:p w:rsidR="00F73E49" w:rsidP="00F73E49" w:rsidRDefault="00F73E49" w14:paraId="005857A8" w14:textId="77777777">
      <w:pPr>
        <w:pStyle w:val="Heading2"/>
        <w:spacing w:before="0" w:line="276" w:lineRule="auto"/>
        <w:jc w:val="both"/>
        <w:rPr>
          <w:color w:val="30AEB9"/>
        </w:rPr>
      </w:pPr>
      <w:bookmarkStart w:name="_Toc471387452" w:id="556"/>
      <w:bookmarkStart w:name="_Toc471396367" w:id="557"/>
      <w:bookmarkStart w:name="_Toc471396411" w:id="558"/>
      <w:bookmarkStart w:name="_Toc485052496" w:id="559"/>
      <w:bookmarkStart w:name="_Toc485055103" w:id="560"/>
      <w:bookmarkStart w:name="_Toc485057512" w:id="561"/>
      <w:bookmarkStart w:name="_Toc485055110" w:id="562"/>
      <w:bookmarkStart w:name="_Toc485057518" w:id="563"/>
      <w:bookmarkStart w:name="_Appendix_3_-" w:id="564"/>
      <w:bookmarkStart w:name="_Toc60651760" w:id="565"/>
      <w:bookmarkStart w:name="_Ref66996258" w:id="566"/>
      <w:bookmarkStart w:name="_Ref68600784" w:id="567"/>
      <w:bookmarkStart w:name="_Ref68600864" w:id="568"/>
      <w:bookmarkStart w:name="_Toc69802007" w:id="569"/>
      <w:bookmarkStart w:name="_Toc71369601" w:id="570"/>
      <w:bookmarkStart w:name="_Ref57818686" w:id="571"/>
      <w:bookmarkStart w:name="_Toc13087163" w:id="572"/>
      <w:bookmarkStart w:name="_Toc38842418" w:id="573"/>
      <w:bookmarkEnd w:id="556"/>
      <w:bookmarkEnd w:id="557"/>
      <w:bookmarkEnd w:id="558"/>
      <w:bookmarkEnd w:id="559"/>
      <w:bookmarkEnd w:id="560"/>
      <w:bookmarkEnd w:id="561"/>
      <w:bookmarkEnd w:id="562"/>
      <w:bookmarkEnd w:id="563"/>
      <w:bookmarkEnd w:id="564"/>
      <w:r>
        <w:rPr>
          <w:lang w:val="it-IT"/>
        </w:rPr>
        <w:t xml:space="preserve">Appendix 1 - </w:t>
      </w:r>
      <w:r w:rsidRPr="00767D91">
        <w:rPr>
          <w:lang w:val="it-IT"/>
        </w:rPr>
        <w:t>UPI Overview</w:t>
      </w:r>
      <w:bookmarkEnd w:id="565"/>
      <w:bookmarkEnd w:id="566"/>
      <w:bookmarkEnd w:id="567"/>
      <w:bookmarkEnd w:id="568"/>
      <w:bookmarkEnd w:id="569"/>
      <w:bookmarkEnd w:id="570"/>
    </w:p>
    <w:p w:rsidRPr="00A94BD1" w:rsidR="00F73E49" w:rsidP="00F73E49" w:rsidRDefault="00F73E49" w14:paraId="58278818" w14:textId="77777777">
      <w:pPr>
        <w:pStyle w:val="Heading3"/>
      </w:pPr>
      <w:bookmarkStart w:name="_Toc60651761" w:id="574"/>
      <w:bookmarkStart w:name="_Toc69802008" w:id="575"/>
      <w:bookmarkStart w:name="_Toc71369602" w:id="576"/>
      <w:r>
        <w:t xml:space="preserve">Purpose of the </w:t>
      </w:r>
      <w:r w:rsidRPr="00A94BD1">
        <w:t>UPI</w:t>
      </w:r>
      <w:bookmarkEnd w:id="574"/>
      <w:bookmarkEnd w:id="575"/>
      <w:bookmarkEnd w:id="576"/>
    </w:p>
    <w:p w:rsidRPr="0044190D" w:rsidR="00F73E49" w:rsidP="00AB4C9D" w:rsidRDefault="00F73E49" w14:paraId="7F9CE62B" w14:textId="77777777">
      <w:pPr>
        <w:jc w:val="both"/>
      </w:pPr>
      <w:r w:rsidRPr="003F5F8A">
        <w:t xml:space="preserve">Group of 20 national leaders (G20) agreed at the 2009 Pittsburgh Summit that all OTC derivatives transactions should be reported to trade repositories (TRs) as part of a package of reforms to the OTC derivatives markets. The key driver for establishing the UPI, </w:t>
      </w:r>
      <w:hyperlink w:history="1" r:id="rId19">
        <w:r w:rsidRPr="003F5F8A">
          <w:rPr>
            <w:rStyle w:val="Hyperlink"/>
          </w:rPr>
          <w:t>ISO/WD 4914</w:t>
        </w:r>
      </w:hyperlink>
      <w:r w:rsidRPr="003F5F8A">
        <w:rPr>
          <w:rStyle w:val="FootnoteReference"/>
        </w:rPr>
        <w:footnoteReference w:id="20"/>
      </w:r>
      <w:r w:rsidRPr="003F5F8A">
        <w:t xml:space="preserve"> – which is under development, Unique Transaction Identifiers (UTI), </w:t>
      </w:r>
      <w:hyperlink w:history="1" r:id="rId20">
        <w:r w:rsidRPr="003F5F8A">
          <w:rPr>
            <w:rStyle w:val="Hyperlink"/>
          </w:rPr>
          <w:t>ISO 23897</w:t>
        </w:r>
      </w:hyperlink>
      <w:r w:rsidRPr="003F5F8A">
        <w:rPr>
          <w:rStyle w:val="FootnoteReference"/>
        </w:rPr>
        <w:footnoteReference w:id="21"/>
      </w:r>
      <w:r w:rsidRPr="003F5F8A">
        <w:t xml:space="preserve">, Critical Data Elements (CDE) which will be included in </w:t>
      </w:r>
      <w:hyperlink w:history="1" r:id="rId21">
        <w:r w:rsidRPr="003F5F8A">
          <w:rPr>
            <w:rStyle w:val="Hyperlink"/>
          </w:rPr>
          <w:t>ISO 20022</w:t>
        </w:r>
      </w:hyperlink>
      <w:r w:rsidRPr="003F5F8A">
        <w:rPr>
          <w:rStyle w:val="FootnoteReference"/>
        </w:rPr>
        <w:footnoteReference w:id="22"/>
      </w:r>
      <w:r w:rsidRPr="003F5F8A">
        <w:t xml:space="preserve">, and Legal Entity Identifier (LEI), </w:t>
      </w:r>
      <w:hyperlink w:history="1" r:id="rId22">
        <w:r w:rsidRPr="003F5F8A">
          <w:rPr>
            <w:rStyle w:val="Hyperlink"/>
          </w:rPr>
          <w:t>ISO 17442</w:t>
        </w:r>
      </w:hyperlink>
      <w:r w:rsidRPr="003F5F8A">
        <w:rPr>
          <w:rStyle w:val="FootnoteReference"/>
        </w:rPr>
        <w:footnoteReference w:id="23"/>
      </w:r>
      <w:r w:rsidRPr="003F5F8A">
        <w:t>, was to increase transparency in financial markets, mitigate systemic risk, and protect against market abuse following the financial crisis that</w:t>
      </w:r>
      <w:r w:rsidRPr="009F5C43">
        <w:t xml:space="preserve"> began in 2007–08. The development of standards for these data elements was in response to a request from the G20 to achieve these objectives. </w:t>
      </w:r>
    </w:p>
    <w:p w:rsidRPr="0044190D" w:rsidR="00F73E49" w:rsidP="00AB4C9D" w:rsidRDefault="00F73E49" w14:paraId="41370BF6" w14:textId="77777777">
      <w:pPr>
        <w:jc w:val="both"/>
      </w:pPr>
      <w:r w:rsidRPr="0044190D">
        <w:t>The Committee on Payments and Market Infrastructures (CPMI) and the International Organization of Securities Commissions (IOSCO) published their finalised UPI technical guidance</w:t>
      </w:r>
      <w:r w:rsidRPr="003F5F8A">
        <w:rPr>
          <w:rStyle w:val="FootnoteReference"/>
        </w:rPr>
        <w:footnoteReference w:id="24"/>
      </w:r>
      <w:r w:rsidRPr="003F5F8A">
        <w:t xml:space="preserve"> in September 2017. Under the guidance, a unique UPI code would be assigned to each distinct OTC derivatives product and be mapped to reference data elements with specific values that descri</w:t>
      </w:r>
      <w:r w:rsidRPr="009F5C43">
        <w:t xml:space="preserve">be the product. The collection of reference data elements and their values for each </w:t>
      </w:r>
      <w:r w:rsidRPr="0044190D">
        <w:t xml:space="preserve">product would reside in a UPI reference data library administered by the UPI service provider. </w:t>
      </w:r>
    </w:p>
    <w:p w:rsidRPr="0044190D" w:rsidR="00F73E49" w:rsidP="00AB4C9D" w:rsidRDefault="00F73E49" w14:paraId="77D2BE72" w14:textId="77777777">
      <w:pPr>
        <w:jc w:val="both"/>
      </w:pPr>
      <w:r w:rsidRPr="0044190D">
        <w:t>UPIs are being introduced as a mechanism to identify OTC derivatives products to strengthen banks' risk data aggregation capabilities and internal risk reporting practices and assist G20 regulators to aggregate global OTC derivatives data by either product or UPI reference data element, together with the CDE and UTI. This will provide users, such as banks, with their risk analys</w:t>
      </w:r>
      <w:r>
        <w:t>i</w:t>
      </w:r>
      <w:r w:rsidRPr="0044190D">
        <w:t xml:space="preserve">s and assist regulators with an improved, consistent view and common understanding of systemic OTC derivative risks. </w:t>
      </w:r>
    </w:p>
    <w:p w:rsidRPr="0044190D" w:rsidR="00F73E49" w:rsidP="00AB4C9D" w:rsidRDefault="00F73E49" w14:paraId="6AE112B3" w14:textId="77777777">
      <w:pPr>
        <w:jc w:val="both"/>
      </w:pPr>
      <w:r w:rsidRPr="0044190D">
        <w:t xml:space="preserve">In the first instance, the role of the UPI is to uniquely identify the product involved in an OTC derivatives transaction and to identify the product in reports that an authority requires, or may require in the future, to be reported to a TR. The UPI will work in conjunction with UTIs and CDEs, which are also expected to be reportable to regulatory authorities. </w:t>
      </w:r>
    </w:p>
    <w:p w:rsidRPr="003F5F8A" w:rsidR="00F73E49" w:rsidP="00AB4C9D" w:rsidRDefault="00F73E49" w14:paraId="57973D75" w14:textId="77777777">
      <w:pPr>
        <w:jc w:val="both"/>
      </w:pPr>
      <w:r w:rsidRPr="0044190D">
        <w:t>Working alongside the UPI and CDE, the UTI is intended to uniquely identify individual OTC derivatives transactions and when required by authorities to be reported to TRs. The UTI will enable aggregation and analysis of these transactions by users, such as banks, and so authorities can use reported information to fulfil their legal obligations and prudential requirements. Further details about the UTI can be found in the UTI technical guidance document</w:t>
      </w:r>
      <w:r w:rsidRPr="003F5F8A">
        <w:rPr>
          <w:rStyle w:val="FootnoteReference"/>
        </w:rPr>
        <w:footnoteReference w:id="25"/>
      </w:r>
      <w:r w:rsidRPr="003F5F8A">
        <w:t xml:space="preserve"> published in February 2017. </w:t>
      </w:r>
    </w:p>
    <w:p w:rsidRPr="0044190D" w:rsidR="00F73E49" w:rsidP="00AB4C9D" w:rsidRDefault="00F73E49" w14:paraId="601DA903" w14:textId="77777777">
      <w:pPr>
        <w:jc w:val="both"/>
      </w:pPr>
      <w:r w:rsidRPr="009F5C43">
        <w:t>CPM</w:t>
      </w:r>
      <w:r w:rsidRPr="0044190D">
        <w:t>I and IOSCO also published a guidance document on the harmonisation of critical OTC derivatives data elements other than those in the UPI and UTI. The CDE technical guidance document</w:t>
      </w:r>
      <w:r w:rsidRPr="003F5F8A">
        <w:rPr>
          <w:rStyle w:val="FootnoteReference"/>
        </w:rPr>
        <w:footnoteReference w:id="26"/>
      </w:r>
      <w:r w:rsidRPr="003F5F8A">
        <w:t>, published in April 2018, provides information about the definition, form</w:t>
      </w:r>
      <w:r w:rsidRPr="009F5C43">
        <w:t>at and allowable values of CDE</w:t>
      </w:r>
      <w:r w:rsidRPr="0044190D">
        <w:t xml:space="preserve">s, other than UTI and UPI, reported to TRs that are important to facilitate consistent global aggregation by authorities. </w:t>
      </w:r>
    </w:p>
    <w:p w:rsidR="00F73E49" w:rsidP="00AB4C9D" w:rsidRDefault="00F73E49" w14:paraId="6CE9CD6D" w14:textId="77777777">
      <w:pPr>
        <w:spacing w:after="360"/>
        <w:jc w:val="both"/>
      </w:pPr>
      <w:r w:rsidRPr="0044190D">
        <w:t xml:space="preserve">Although the UPI has been developed with this core purpose, it is recognised the UPI could also serve other purposes, such as other forms of regulatory reporting and market transparency specific to particular jurisdictions or pre- and post-trade processes, with primary use of the UPI contemplated for strengthening banks' risk aggregation capabilities and practices and for the reporting of OTC derivatives transactions to a TR or for regulatory use. It is anticipated that broader use cases for the UPI system – especially in relation to internal business functions – could increase its adoption and usefulness. </w:t>
      </w:r>
    </w:p>
    <w:p w:rsidRPr="00DF129F" w:rsidR="00F73E49" w:rsidP="00F73E49" w:rsidRDefault="00F73E49" w14:paraId="607AB9AB" w14:textId="77777777">
      <w:pPr>
        <w:pStyle w:val="Heading2"/>
        <w:spacing w:before="0" w:line="276" w:lineRule="auto"/>
        <w:jc w:val="both"/>
        <w:rPr>
          <w:lang w:val="it-IT"/>
        </w:rPr>
      </w:pPr>
      <w:bookmarkStart w:name="_Toc57811961" w:id="577"/>
      <w:bookmarkStart w:name="_Toc57818969" w:id="578"/>
      <w:bookmarkStart w:name="_Toc57825954" w:id="579"/>
      <w:bookmarkStart w:name="_Toc57826060" w:id="580"/>
      <w:bookmarkStart w:name="_Toc57826108" w:id="581"/>
      <w:bookmarkStart w:name="_Toc57827587" w:id="582"/>
      <w:bookmarkStart w:name="_Toc57890588" w:id="583"/>
      <w:bookmarkStart w:name="_Toc57898035" w:id="584"/>
      <w:bookmarkStart w:name="_Toc57901396" w:id="585"/>
      <w:bookmarkStart w:name="_Toc57901739" w:id="586"/>
      <w:bookmarkStart w:name="_Toc57906247" w:id="587"/>
      <w:bookmarkStart w:name="_Toc60651762" w:id="588"/>
      <w:bookmarkStart w:name="_Ref68600803" w:id="589"/>
      <w:bookmarkStart w:name="_Toc69802009" w:id="590"/>
      <w:bookmarkStart w:name="_Toc71369603" w:id="591"/>
      <w:bookmarkEnd w:id="577"/>
      <w:bookmarkEnd w:id="578"/>
      <w:bookmarkEnd w:id="579"/>
      <w:bookmarkEnd w:id="580"/>
      <w:bookmarkEnd w:id="581"/>
      <w:bookmarkEnd w:id="582"/>
      <w:bookmarkEnd w:id="583"/>
      <w:bookmarkEnd w:id="584"/>
      <w:bookmarkEnd w:id="585"/>
      <w:bookmarkEnd w:id="586"/>
      <w:bookmarkEnd w:id="587"/>
      <w:r>
        <w:rPr>
          <w:lang w:val="it-IT"/>
        </w:rPr>
        <w:t xml:space="preserve">Appendix 2 - </w:t>
      </w:r>
      <w:r w:rsidRPr="00DF129F">
        <w:rPr>
          <w:lang w:val="it-IT"/>
        </w:rPr>
        <w:t>Governance Arrangements</w:t>
      </w:r>
      <w:bookmarkEnd w:id="588"/>
      <w:bookmarkEnd w:id="589"/>
      <w:bookmarkEnd w:id="590"/>
      <w:bookmarkEnd w:id="591"/>
      <w:r w:rsidRPr="00DF129F">
        <w:rPr>
          <w:lang w:val="it-IT"/>
        </w:rPr>
        <w:t xml:space="preserve">  </w:t>
      </w:r>
    </w:p>
    <w:p w:rsidRPr="004D493C" w:rsidR="00F73E49" w:rsidP="00F73E49" w:rsidRDefault="00F73E49" w14:paraId="5F31C4B0" w14:textId="77777777">
      <w:pPr>
        <w:pStyle w:val="Heading3"/>
      </w:pPr>
      <w:bookmarkStart w:name="_Toc60651763" w:id="592"/>
      <w:bookmarkStart w:name="_Toc69802010" w:id="593"/>
      <w:bookmarkStart w:name="_Ref71218652" w:id="594"/>
      <w:bookmarkStart w:name="_Ref71365811" w:id="595"/>
      <w:bookmarkStart w:name="_Toc71369604" w:id="596"/>
      <w:r>
        <w:t>UPI Governance Components</w:t>
      </w:r>
      <w:bookmarkEnd w:id="592"/>
      <w:bookmarkEnd w:id="593"/>
      <w:bookmarkEnd w:id="594"/>
      <w:bookmarkEnd w:id="595"/>
      <w:bookmarkEnd w:id="596"/>
    </w:p>
    <w:p w:rsidRPr="0048715D" w:rsidR="00F73E49" w:rsidP="00AB4C9D" w:rsidRDefault="00F73E49" w14:paraId="13537F8A" w14:textId="35C70BD1">
      <w:pPr>
        <w:jc w:val="both"/>
        <w:rPr>
          <w:rFonts w:cstheme="minorHAnsi"/>
        </w:rPr>
      </w:pPr>
      <w:r w:rsidRPr="0048715D">
        <w:rPr>
          <w:rFonts w:cstheme="minorHAnsi"/>
        </w:rPr>
        <w:t>The FSB, an international body that monitors and makes recommendations about the global financial system, has been responsible for defining the governance arrangements for the UPI. To that end, the FSB designated the DSB as the sole service provider for the future UPI system. The term ‘UPI system’ refers to the UPI code, the UPI reference data library, and the process of assigning a UPI to a set of reference data elements</w:t>
      </w:r>
      <w:r w:rsidRPr="0048715D" w:rsidDel="00682648" w:rsidR="0067574C">
        <w:rPr>
          <w:rFonts w:cstheme="minorHAnsi"/>
        </w:rPr>
        <w:t>.</w:t>
      </w:r>
      <w:r w:rsidDel="00263331">
        <w:rPr>
          <w:rFonts w:cstheme="minorHAnsi"/>
        </w:rPr>
        <w:t xml:space="preserve"> </w:t>
      </w:r>
      <w:r w:rsidRPr="0048715D">
        <w:rPr>
          <w:rFonts w:cstheme="minorHAnsi"/>
        </w:rPr>
        <w:t xml:space="preserve">Accordingly, the DSB will perform the functions of issuance of UPI and maintenance of their associated reference data consistent with the CPMI-IOSCO UPI technical guidance. This is a key step in completing the governance framework for the UPI. </w:t>
      </w:r>
    </w:p>
    <w:p w:rsidRPr="0048715D" w:rsidR="00F73E49" w:rsidP="00AB4C9D" w:rsidRDefault="00F73E49" w14:paraId="05507E52" w14:textId="77777777">
      <w:pPr>
        <w:jc w:val="both"/>
        <w:rPr>
          <w:rFonts w:cstheme="minorHAnsi"/>
        </w:rPr>
      </w:pPr>
      <w:r w:rsidRPr="0048715D">
        <w:rPr>
          <w:rFonts w:cstheme="minorHAnsi"/>
        </w:rPr>
        <w:t>In October 2019, the FSB published the Governance arrangements for the UPI</w:t>
      </w:r>
      <w:r w:rsidRPr="0048715D">
        <w:rPr>
          <w:rStyle w:val="FootnoteReference"/>
          <w:rFonts w:cstheme="minorHAnsi"/>
        </w:rPr>
        <w:footnoteReference w:id="27"/>
      </w:r>
      <w:r w:rsidRPr="0048715D">
        <w:rPr>
          <w:rFonts w:cstheme="minorHAnsi"/>
        </w:rPr>
        <w:t>, outlining its conclusions, implementation plan and next steps to establish the International Governance Body (IGB). In co</w:t>
      </w:r>
      <w:r w:rsidRPr="0048715D">
        <w:rPr>
          <w:rFonts w:cstheme="minorHAnsi"/>
        </w:rPr>
        <w:noBreakHyphen/>
        <w:t>ordination with CPMI and IOSCO, the FSB identified the Regulatory Oversight Committee</w:t>
      </w:r>
      <w:r w:rsidRPr="0048715D">
        <w:rPr>
          <w:rStyle w:val="FootnoteReference"/>
          <w:rFonts w:cstheme="minorHAnsi"/>
        </w:rPr>
        <w:footnoteReference w:id="28"/>
      </w:r>
      <w:r w:rsidRPr="0048715D">
        <w:rPr>
          <w:rFonts w:cstheme="minorHAnsi"/>
        </w:rPr>
        <w:t xml:space="preserve"> (ROC) of the Global Legal Entity Identifier System as best positioned to become the future IGB for the UPI, UTI and CDE in addition to its existing oversight of LEI, provided it made the necessary adjustments to its existing governance to be fit for purpose for these additional identifiers. In September 2020, the FSB announced the transfer of all governance and oversight responsibilities</w:t>
      </w:r>
      <w:r w:rsidRPr="0048715D">
        <w:rPr>
          <w:rStyle w:val="FootnoteReference"/>
          <w:rFonts w:cstheme="minorHAnsi"/>
        </w:rPr>
        <w:footnoteReference w:id="29"/>
      </w:r>
      <w:r w:rsidRPr="0048715D">
        <w:rPr>
          <w:rFonts w:cstheme="minorHAnsi"/>
        </w:rPr>
        <w:t xml:space="preserve"> in relation to the </w:t>
      </w:r>
      <w:proofErr w:type="spellStart"/>
      <w:r w:rsidRPr="0048715D">
        <w:rPr>
          <w:rFonts w:cstheme="minorHAnsi"/>
        </w:rPr>
        <w:t>harmonised</w:t>
      </w:r>
      <w:proofErr w:type="spellEnd"/>
      <w:r w:rsidRPr="0048715D">
        <w:rPr>
          <w:rFonts w:cstheme="minorHAnsi"/>
        </w:rPr>
        <w:t xml:space="preserve"> derivatives identifiers and data elements to the ROC as of October 1, 2020. On the same date, ROC announced and published its revised Charter</w:t>
      </w:r>
      <w:r w:rsidRPr="0048715D">
        <w:rPr>
          <w:rStyle w:val="FootnoteReference"/>
          <w:rFonts w:cstheme="minorHAnsi"/>
        </w:rPr>
        <w:footnoteReference w:id="30"/>
      </w:r>
      <w:r w:rsidRPr="0048715D">
        <w:rPr>
          <w:rFonts w:cstheme="minorHAnsi"/>
        </w:rPr>
        <w:t xml:space="preserve">. </w:t>
      </w:r>
    </w:p>
    <w:p w:rsidRPr="0048715D" w:rsidR="00F73E49" w:rsidP="00AB4C9D" w:rsidRDefault="00F73E49" w14:paraId="7C0AB134" w14:textId="77777777">
      <w:pPr>
        <w:jc w:val="both"/>
        <w:rPr>
          <w:rFonts w:cstheme="minorHAnsi"/>
        </w:rPr>
      </w:pPr>
      <w:r w:rsidRPr="0048715D">
        <w:rPr>
          <w:rFonts w:cstheme="minorHAnsi"/>
        </w:rPr>
        <w:t xml:space="preserve">Furthermore, the FSB has determined that the UPI Code and the UPI Reference Data Elements should be set as international data standards and has identified ISO as the International </w:t>
      </w:r>
      <w:proofErr w:type="spellStart"/>
      <w:r w:rsidRPr="0048715D">
        <w:rPr>
          <w:rFonts w:cstheme="minorHAnsi"/>
        </w:rPr>
        <w:t>Standardisation</w:t>
      </w:r>
      <w:proofErr w:type="spellEnd"/>
      <w:r w:rsidRPr="0048715D">
        <w:rPr>
          <w:rFonts w:cstheme="minorHAnsi"/>
        </w:rPr>
        <w:t xml:space="preserve"> Body for the </w:t>
      </w:r>
      <w:r>
        <w:rPr>
          <w:rFonts w:cstheme="minorHAnsi"/>
        </w:rPr>
        <w:t xml:space="preserve">development of the </w:t>
      </w:r>
      <w:r w:rsidRPr="0048715D">
        <w:rPr>
          <w:rFonts w:cstheme="minorHAnsi"/>
        </w:rPr>
        <w:t>UPI</w:t>
      </w:r>
      <w:r>
        <w:rPr>
          <w:rFonts w:cstheme="minorHAnsi"/>
        </w:rPr>
        <w:t xml:space="preserve"> </w:t>
      </w:r>
      <w:r w:rsidRPr="0048715D">
        <w:rPr>
          <w:rFonts w:cstheme="minorHAnsi"/>
        </w:rPr>
        <w:t>s</w:t>
      </w:r>
      <w:r>
        <w:rPr>
          <w:rFonts w:cstheme="minorHAnsi"/>
        </w:rPr>
        <w:t>tandard</w:t>
      </w:r>
      <w:r w:rsidRPr="0048715D">
        <w:rPr>
          <w:rFonts w:cstheme="minorHAnsi"/>
        </w:rPr>
        <w:t>.</w:t>
      </w:r>
      <w:r w:rsidRPr="0048715D">
        <w:rPr>
          <w:rStyle w:val="FootnoteReference"/>
          <w:rFonts w:cstheme="minorHAnsi"/>
        </w:rPr>
        <w:footnoteReference w:id="31"/>
      </w:r>
    </w:p>
    <w:p w:rsidRPr="0048715D" w:rsidR="00F73E49" w:rsidP="00AB4C9D" w:rsidRDefault="00F73E49" w14:paraId="413D188B" w14:textId="77777777">
      <w:pPr>
        <w:jc w:val="both"/>
        <w:rPr>
          <w:rFonts w:cstheme="minorHAnsi"/>
        </w:rPr>
      </w:pPr>
      <w:r w:rsidRPr="0048715D">
        <w:rPr>
          <w:rFonts w:cstheme="minorHAnsi"/>
        </w:rPr>
        <w:t>In addition to oversight functions, the governance arrangements also include the need for ongoing coordination between the IGB, the UPI service provider and industry stakeholders. On this basis, the DSB Product Committee</w:t>
      </w:r>
      <w:r w:rsidRPr="0048715D">
        <w:rPr>
          <w:rStyle w:val="FootnoteReference"/>
          <w:rFonts w:cstheme="minorHAnsi"/>
        </w:rPr>
        <w:footnoteReference w:id="32"/>
      </w:r>
      <w:r w:rsidRPr="0048715D">
        <w:rPr>
          <w:rFonts w:cstheme="minorHAnsi"/>
        </w:rPr>
        <w:t xml:space="preserve"> and Technology Advisory Committee</w:t>
      </w:r>
      <w:r w:rsidRPr="0048715D">
        <w:rPr>
          <w:rStyle w:val="FootnoteReference"/>
          <w:rFonts w:cstheme="minorHAnsi"/>
        </w:rPr>
        <w:footnoteReference w:id="33"/>
      </w:r>
      <w:r w:rsidRPr="0048715D">
        <w:rPr>
          <w:rFonts w:cstheme="minorHAnsi"/>
        </w:rPr>
        <w:t xml:space="preserve"> will function as industry representation groups comprising reporting entities, derivatives infrastructure providers and market data providers.</w:t>
      </w:r>
    </w:p>
    <w:p w:rsidRPr="0048715D" w:rsidR="00F73E49" w:rsidP="00AB4C9D" w:rsidRDefault="00F73E49" w14:paraId="5FE361B0" w14:textId="77777777">
      <w:pPr>
        <w:jc w:val="both"/>
        <w:rPr>
          <w:rFonts w:cstheme="minorHAnsi"/>
        </w:rPr>
      </w:pPr>
      <w:r w:rsidRPr="0048715D">
        <w:rPr>
          <w:rFonts w:cstheme="minorHAnsi"/>
        </w:rPr>
        <w:t>The UPI service and reference data library operated by the DSB is founded on interactions with five major parties, as set out in the diagram below. Taking each in turn, these comprise the:</w:t>
      </w:r>
    </w:p>
    <w:p w:rsidRPr="0048715D" w:rsidR="00F73E49" w:rsidP="00AB4C9D" w:rsidRDefault="00F73E49" w14:paraId="31278AEF" w14:textId="77777777">
      <w:pPr>
        <w:pStyle w:val="ListParagraph"/>
        <w:numPr>
          <w:ilvl w:val="0"/>
          <w:numId w:val="11"/>
        </w:numPr>
        <w:spacing w:after="120" w:line="276" w:lineRule="auto"/>
        <w:ind w:left="357" w:hanging="357"/>
        <w:contextualSpacing w:val="0"/>
        <w:jc w:val="both"/>
        <w:rPr>
          <w:rFonts w:cstheme="minorHAnsi"/>
        </w:rPr>
      </w:pPr>
      <w:r w:rsidRPr="0048715D">
        <w:rPr>
          <w:rFonts w:cstheme="minorHAnsi"/>
          <w:b/>
          <w:bCs/>
        </w:rPr>
        <w:t xml:space="preserve">IGB: </w:t>
      </w:r>
      <w:r w:rsidRPr="0048715D">
        <w:rPr>
          <w:rFonts w:cstheme="minorHAnsi"/>
        </w:rPr>
        <w:t>an international regulatory oversight body that should provide overall oversight and coordinate between the UPI Service Provider(s), the International Standardisation Body, and other elements of the UPI Governance Arrangements, as well as to coordinate among the various stakeholders, and other international standard-setting bodies (including the CPMI, IOSCO and FSB).</w:t>
      </w:r>
      <w:r w:rsidRPr="0048715D">
        <w:rPr>
          <w:rStyle w:val="FootnoteReference"/>
          <w:rFonts w:cstheme="minorHAnsi"/>
        </w:rPr>
        <w:footnoteReference w:id="34"/>
      </w:r>
      <w:r w:rsidRPr="0048715D">
        <w:rPr>
          <w:rFonts w:cstheme="minorHAnsi"/>
        </w:rPr>
        <w:t xml:space="preserve"> </w:t>
      </w:r>
    </w:p>
    <w:p w:rsidRPr="0048715D" w:rsidR="00F73E49" w:rsidP="00F73E49" w:rsidRDefault="00F73E49" w14:paraId="5509BF2D" w14:textId="77777777">
      <w:pPr>
        <w:pStyle w:val="ListParagraph"/>
        <w:spacing w:after="120" w:line="276" w:lineRule="auto"/>
        <w:ind w:left="357"/>
        <w:jc w:val="both"/>
        <w:rPr>
          <w:rFonts w:cstheme="minorHAnsi"/>
        </w:rPr>
      </w:pPr>
      <w:r w:rsidRPr="0048715D">
        <w:rPr>
          <w:rFonts w:cstheme="minorHAnsi"/>
        </w:rPr>
        <w:t xml:space="preserve">The ROC is a group of 67 </w:t>
      </w:r>
      <w:r w:rsidRPr="0048715D">
        <w:rPr>
          <w:rFonts w:cstheme="minorHAnsi"/>
          <w:bCs/>
        </w:rPr>
        <w:t>public</w:t>
      </w:r>
      <w:r w:rsidRPr="0048715D">
        <w:rPr>
          <w:rFonts w:cstheme="minorHAnsi"/>
        </w:rPr>
        <w:t xml:space="preserve"> authorities with full membership and 18 observers from more than 50 countries.</w:t>
      </w:r>
      <w:r w:rsidRPr="0048715D">
        <w:rPr>
          <w:rStyle w:val="FootnoteReference"/>
          <w:rFonts w:cstheme="minorHAnsi"/>
        </w:rPr>
        <w:footnoteReference w:id="35"/>
      </w:r>
      <w:r w:rsidRPr="0048715D">
        <w:rPr>
          <w:rFonts w:cstheme="minorHAnsi"/>
        </w:rPr>
        <w:t xml:space="preserve"> The ROC was set up to oversee the Legal Entity Identifier (LEI) and recently announced an expanded mandate to become the IGB of the globally harmonised UTI, the UPI and the CDE. As IGB of the UTI, UPI and CDE, the ROC becomes the overseer of the designated UPI service provider, The Derivatives Service Bureau (DSB). </w:t>
      </w:r>
    </w:p>
    <w:p w:rsidRPr="0048715D" w:rsidR="00F73E49" w:rsidP="00AB4C9D" w:rsidRDefault="00F73E49" w14:paraId="71F7FEB5" w14:textId="77777777">
      <w:pPr>
        <w:pStyle w:val="ListParagraph"/>
        <w:spacing w:after="120" w:line="276" w:lineRule="auto"/>
        <w:ind w:left="357"/>
        <w:contextualSpacing w:val="0"/>
        <w:jc w:val="both"/>
        <w:rPr>
          <w:rFonts w:cstheme="minorHAnsi"/>
        </w:rPr>
      </w:pPr>
      <w:r w:rsidRPr="0048715D">
        <w:rPr>
          <w:rFonts w:cstheme="minorHAnsi"/>
          <w:bCs/>
        </w:rPr>
        <w:t xml:space="preserve">The Committee on </w:t>
      </w:r>
      <w:r w:rsidRPr="0048715D">
        <w:rPr>
          <w:rFonts w:cstheme="minorHAnsi"/>
        </w:rPr>
        <w:t>Derivative Identifiers</w:t>
      </w:r>
      <w:r w:rsidRPr="0048715D">
        <w:rPr>
          <w:rFonts w:cstheme="minorHAnsi"/>
          <w:bCs/>
        </w:rPr>
        <w:t xml:space="preserve"> and Data Elements (CDIDE) is a sub-committee of the ROC with the purpose of supporting </w:t>
      </w:r>
      <w:r w:rsidRPr="0048715D">
        <w:rPr>
          <w:rFonts w:cstheme="minorHAnsi"/>
        </w:rPr>
        <w:t xml:space="preserve">the ROC on the ROC’s oversight of the implementation of the UPI service and the UPI Reference Data Library by the DSB. CDIDE co-chairs may participate in each of the DSB Product Committee and DSB Technology Advisory Committee (see below) which committees are the Industry Representation Groups described below. </w:t>
      </w:r>
    </w:p>
    <w:p w:rsidRPr="003F5F8A" w:rsidR="00F73E49" w:rsidP="00AB4C9D" w:rsidRDefault="00F73E49" w14:paraId="51F34C08" w14:textId="77777777">
      <w:pPr>
        <w:pStyle w:val="ListParagraph"/>
        <w:numPr>
          <w:ilvl w:val="0"/>
          <w:numId w:val="11"/>
        </w:numPr>
        <w:spacing w:after="120" w:line="276" w:lineRule="auto"/>
        <w:ind w:left="357" w:hanging="357"/>
        <w:contextualSpacing w:val="0"/>
        <w:jc w:val="both"/>
        <w:rPr>
          <w:rFonts w:cstheme="minorHAnsi"/>
        </w:rPr>
      </w:pPr>
      <w:r w:rsidRPr="003F5F8A">
        <w:rPr>
          <w:rFonts w:cstheme="minorHAnsi"/>
          <w:b/>
          <w:bCs/>
        </w:rPr>
        <w:t xml:space="preserve">Authorities (as members of the ROC) and standard-setting bodies: </w:t>
      </w:r>
      <w:r w:rsidRPr="003F5F8A">
        <w:rPr>
          <w:rFonts w:cstheme="minorHAnsi"/>
        </w:rPr>
        <w:t xml:space="preserve">will continue to work on implementation, in coordination with the IGB. Authorities of each jurisdiction where the UPI will be reportable (as members of the ROC), and standard setting bodies such as the </w:t>
      </w:r>
      <w:r w:rsidRPr="003F5F8A">
        <w:rPr>
          <w:rStyle w:val="hgkelc"/>
          <w:rFonts w:cstheme="minorHAnsi"/>
        </w:rPr>
        <w:t>CPMI</w:t>
      </w:r>
      <w:r w:rsidRPr="003F5F8A" w:rsidDel="00451047">
        <w:rPr>
          <w:rStyle w:val="hgkelc"/>
          <w:rFonts w:cstheme="minorHAnsi"/>
        </w:rPr>
        <w:t xml:space="preserve"> and </w:t>
      </w:r>
      <w:r w:rsidRPr="003F5F8A">
        <w:rPr>
          <w:rStyle w:val="acopre"/>
          <w:rFonts w:cstheme="minorHAnsi"/>
        </w:rPr>
        <w:t xml:space="preserve">IOSCO also may </w:t>
      </w:r>
      <w:r w:rsidRPr="003F5F8A">
        <w:rPr>
          <w:rFonts w:cstheme="minorHAnsi"/>
        </w:rPr>
        <w:t xml:space="preserve">choose to participate in the Industry Representation Groups described below. </w:t>
      </w:r>
    </w:p>
    <w:p w:rsidRPr="003F5F8A" w:rsidR="00F73E49" w:rsidP="00AB4C9D" w:rsidRDefault="00F73E49" w14:paraId="7DB8A67E" w14:textId="77777777">
      <w:pPr>
        <w:pStyle w:val="ListParagraph"/>
        <w:numPr>
          <w:ilvl w:val="0"/>
          <w:numId w:val="11"/>
        </w:numPr>
        <w:spacing w:after="120" w:line="276" w:lineRule="auto"/>
        <w:ind w:left="357" w:hanging="357"/>
        <w:contextualSpacing w:val="0"/>
        <w:jc w:val="both"/>
        <w:rPr>
          <w:rFonts w:cstheme="minorHAnsi"/>
        </w:rPr>
      </w:pPr>
      <w:r w:rsidRPr="003F5F8A">
        <w:rPr>
          <w:rFonts w:cstheme="minorHAnsi"/>
          <w:b/>
          <w:bCs/>
        </w:rPr>
        <w:t xml:space="preserve">Industry Representation Group (IRG): </w:t>
      </w:r>
      <w:r w:rsidRPr="003F5F8A">
        <w:rPr>
          <w:rFonts w:cstheme="minorHAnsi"/>
        </w:rPr>
        <w:t xml:space="preserve">with representatives of, inter alia, reporting entities, derivatives infrastructure providers, and/or market data providers, to consult with other parts of the Governance Arrangements, including the IGB and the UPI Service Provider. The functions of an IRG are expected to be carried out by two existing DSB advisory committees, whose charters have been expanded to encompass the UPI initiative. </w:t>
      </w:r>
    </w:p>
    <w:p w:rsidRPr="003F5F8A" w:rsidR="00F73E49" w:rsidP="00F73E49" w:rsidRDefault="00F73E49" w14:paraId="2FD83CF1" w14:textId="77777777">
      <w:pPr>
        <w:pStyle w:val="ListParagraph"/>
        <w:spacing w:after="120" w:line="276" w:lineRule="auto"/>
        <w:ind w:left="357"/>
        <w:jc w:val="both"/>
        <w:rPr>
          <w:rFonts w:cstheme="minorHAnsi"/>
        </w:rPr>
      </w:pPr>
      <w:r w:rsidRPr="003F5F8A">
        <w:rPr>
          <w:rFonts w:cstheme="minorHAnsi"/>
        </w:rPr>
        <w:t xml:space="preserve">Within the </w:t>
      </w:r>
      <w:r w:rsidRPr="003F5F8A">
        <w:rPr>
          <w:rFonts w:cstheme="minorHAnsi"/>
          <w:bCs/>
        </w:rPr>
        <w:t>DSB</w:t>
      </w:r>
      <w:r w:rsidRPr="003F5F8A">
        <w:rPr>
          <w:rFonts w:cstheme="minorHAnsi"/>
        </w:rPr>
        <w:t>, the two existing advisory committees of the DSB Board of Directors are the Product Committee</w:t>
      </w:r>
      <w:r w:rsidRPr="003F5F8A">
        <w:rPr>
          <w:rStyle w:val="FootnoteReference"/>
          <w:rFonts w:cstheme="minorHAnsi"/>
        </w:rPr>
        <w:footnoteReference w:id="36"/>
      </w:r>
      <w:r w:rsidRPr="003F5F8A">
        <w:rPr>
          <w:rFonts w:cstheme="minorHAnsi"/>
        </w:rPr>
        <w:t xml:space="preserve"> (PC), and the Technology Advisory Committee</w:t>
      </w:r>
      <w:r w:rsidRPr="003F5F8A">
        <w:rPr>
          <w:rStyle w:val="FootnoteReference"/>
          <w:rFonts w:cstheme="minorHAnsi"/>
        </w:rPr>
        <w:footnoteReference w:id="37"/>
      </w:r>
      <w:r w:rsidRPr="003F5F8A">
        <w:rPr>
          <w:rFonts w:cstheme="minorHAnsi"/>
        </w:rPr>
        <w:t xml:space="preserve"> (TAC). Both committees comprise a broad range of representatives of entity types and geographical representation.</w:t>
      </w:r>
    </w:p>
    <w:p w:rsidRPr="003F5F8A" w:rsidR="00F73E49" w:rsidP="00AB4C9D" w:rsidRDefault="00F73E49" w14:paraId="15A6A51F" w14:textId="77777777">
      <w:pPr>
        <w:pStyle w:val="ListParagraph"/>
        <w:spacing w:after="120" w:line="276" w:lineRule="auto"/>
        <w:ind w:left="357"/>
        <w:contextualSpacing w:val="0"/>
        <w:jc w:val="both"/>
        <w:rPr>
          <w:rFonts w:cstheme="minorHAnsi"/>
        </w:rPr>
      </w:pPr>
      <w:r w:rsidRPr="003F5F8A">
        <w:rPr>
          <w:rFonts w:cstheme="minorHAnsi"/>
        </w:rPr>
        <w:t>The DSB PC is an industry group that supports the DSB Board through</w:t>
      </w:r>
      <w:r w:rsidRPr="003F5F8A" w:rsidDel="00550F52">
        <w:rPr>
          <w:rFonts w:cstheme="minorHAnsi"/>
        </w:rPr>
        <w:t xml:space="preserve"> </w:t>
      </w:r>
      <w:r w:rsidRPr="003F5F8A">
        <w:rPr>
          <w:rFonts w:cstheme="minorHAnsi"/>
        </w:rPr>
        <w:t>continuing the work of the ISO study group tasked with defining the ISIN for OTC derivatives. The PC oversees the definitions of a broad range of OTC derivatives and how they translate into data requirements for allocation of these identifiers.  They also support the development and inclusion of descriptive taxonomies used to identify OTC derivatives.</w:t>
      </w:r>
    </w:p>
    <w:p w:rsidRPr="003F5F8A" w:rsidR="00F73E49" w:rsidP="00AB4C9D" w:rsidRDefault="00F73E49" w14:paraId="35195940" w14:textId="77777777">
      <w:pPr>
        <w:pStyle w:val="ListParagraph"/>
        <w:spacing w:after="120" w:line="276" w:lineRule="auto"/>
        <w:ind w:left="357"/>
        <w:contextualSpacing w:val="0"/>
        <w:jc w:val="both"/>
        <w:rPr>
          <w:rFonts w:cstheme="minorHAnsi"/>
        </w:rPr>
      </w:pPr>
      <w:r w:rsidRPr="003F5F8A">
        <w:rPr>
          <w:rFonts w:cstheme="minorHAnsi"/>
        </w:rPr>
        <w:t xml:space="preserve">The DSB TAC is an industry group that supports the DSB Board on technology issues to ensure that the DSB’s technology strategy is aligned with the needs of the markets it serves. The TAC oversees proposed technology changes related to the DSB’s services which includes any technical changes identified during the stakeholder consultation process as well as consideration of the workflows and integration needs of the UPI service provision.  </w:t>
      </w:r>
    </w:p>
    <w:p w:rsidR="00F73E49" w:rsidP="00AB4C9D" w:rsidRDefault="00F73E49" w14:paraId="2881AE90" w14:textId="77777777">
      <w:pPr>
        <w:pStyle w:val="ListParagraph"/>
        <w:numPr>
          <w:ilvl w:val="0"/>
          <w:numId w:val="11"/>
        </w:numPr>
        <w:spacing w:after="120" w:line="276" w:lineRule="auto"/>
        <w:ind w:left="357" w:hanging="357"/>
        <w:contextualSpacing w:val="0"/>
        <w:jc w:val="both"/>
        <w:rPr>
          <w:rFonts w:cstheme="minorHAnsi"/>
        </w:rPr>
      </w:pPr>
      <w:r w:rsidRPr="003F5F8A">
        <w:rPr>
          <w:rFonts w:cstheme="minorHAnsi"/>
          <w:b/>
          <w:bCs/>
        </w:rPr>
        <w:t xml:space="preserve">International Standardisation Body: </w:t>
      </w:r>
      <w:r w:rsidRPr="003F5F8A">
        <w:rPr>
          <w:rFonts w:cstheme="minorHAnsi"/>
        </w:rPr>
        <w:t xml:space="preserve"> The ISO has been nominated as the International Standardisation Body for the UPI. ISO’s work on development of the UPI standard began in June 2020 with the aim of publishing a final ISO standard in early 2022. The standard will include the format and computation of the UPI code, as well as the minimum data elements driven by the UPI Technical Guidance. </w:t>
      </w:r>
    </w:p>
    <w:p w:rsidRPr="003F5F8A" w:rsidR="00F73E49" w:rsidP="00AB4C9D" w:rsidRDefault="00F73E49" w14:paraId="12129AA4" w14:textId="77777777">
      <w:pPr>
        <w:pStyle w:val="ListParagraph"/>
        <w:spacing w:after="120" w:line="276" w:lineRule="auto"/>
        <w:ind w:left="357"/>
        <w:contextualSpacing w:val="0"/>
        <w:jc w:val="both"/>
        <w:rPr>
          <w:rFonts w:cstheme="minorHAnsi"/>
        </w:rPr>
      </w:pPr>
      <w:r w:rsidRPr="009C1815">
        <w:t>ISO provides the framework allowing for a unique UPI Code to be assigned to each distinct OTC derivative product that is reportable to trade repositories.  The standard defines the UPI code structure and the minimum set of reference data elements that will describe the product. Reference data element values as well as possible reference data elements in addition to the ISO standard will be determined by the DSB Product Committee working in conjunction with the ISB.</w:t>
      </w:r>
    </w:p>
    <w:p w:rsidRPr="00641886" w:rsidR="00F73E49" w:rsidP="00AB4C9D" w:rsidRDefault="00F73E49" w14:paraId="6EC32E43" w14:textId="77777777">
      <w:pPr>
        <w:numPr>
          <w:ilvl w:val="0"/>
          <w:numId w:val="11"/>
        </w:numPr>
        <w:spacing w:after="120"/>
        <w:ind w:left="426" w:hanging="426"/>
        <w:jc w:val="both"/>
        <w:rPr>
          <w:rFonts w:cstheme="minorHAnsi"/>
        </w:rPr>
      </w:pPr>
      <w:r w:rsidRPr="00641886">
        <w:rPr>
          <w:rFonts w:cstheme="minorHAnsi"/>
          <w:b/>
          <w:bCs/>
        </w:rPr>
        <w:t>UPI Users:</w:t>
      </w:r>
      <w:r w:rsidRPr="00641886">
        <w:rPr>
          <w:rFonts w:cstheme="minorHAnsi"/>
        </w:rPr>
        <w:t xml:space="preserve"> UPI users comprise organizations that </w:t>
      </w:r>
      <w:r>
        <w:rPr>
          <w:rFonts w:cstheme="minorHAnsi"/>
        </w:rPr>
        <w:t xml:space="preserve">will </w:t>
      </w:r>
      <w:r w:rsidRPr="00641886">
        <w:rPr>
          <w:rFonts w:cstheme="minorHAnsi"/>
        </w:rPr>
        <w:t xml:space="preserve">connect to the DSB to create, search for, or download files – on either a fee paying or non-fee-paying basis. Based on the DSB’s experience with the OTC ISIN </w:t>
      </w:r>
      <w:r>
        <w:rPr>
          <w:rFonts w:cstheme="minorHAnsi"/>
        </w:rPr>
        <w:t xml:space="preserve">service, </w:t>
      </w:r>
      <w:r w:rsidRPr="00641886">
        <w:rPr>
          <w:rFonts w:cstheme="minorHAnsi"/>
        </w:rPr>
        <w:t xml:space="preserve">in the three-year period since the service was launched, the DSB expects to continue to see a marked difference between the number and types of firms that will create OTC derivatives reference data records in the DSB (be they for OTC ISIN, UPI, CFI or FISN purposes), and those that consume the data. </w:t>
      </w:r>
    </w:p>
    <w:p w:rsidR="00F73E49" w:rsidP="00AB4C9D" w:rsidRDefault="00F73E49" w14:paraId="50D2B261" w14:textId="77777777">
      <w:pPr>
        <w:pStyle w:val="ListParagraph"/>
        <w:spacing w:after="120" w:line="276" w:lineRule="auto"/>
        <w:ind w:left="357"/>
        <w:contextualSpacing w:val="0"/>
        <w:jc w:val="both"/>
        <w:rPr>
          <w:rFonts w:cstheme="minorHAnsi"/>
        </w:rPr>
      </w:pPr>
      <w:r w:rsidRPr="003F5F8A">
        <w:rPr>
          <w:rFonts w:cstheme="minorHAnsi"/>
        </w:rPr>
        <w:t xml:space="preserve">A review of current activity levels shows that an at aggregate level, the sell-side </w:t>
      </w:r>
      <w:r>
        <w:rPr>
          <w:rFonts w:cstheme="minorHAnsi"/>
        </w:rPr>
        <w:t xml:space="preserve">has </w:t>
      </w:r>
      <w:r w:rsidRPr="003F5F8A">
        <w:rPr>
          <w:rFonts w:cstheme="minorHAnsi"/>
        </w:rPr>
        <w:t>created 75% of all OTC derivative records in the DSB, with execution platforms, the larger buy-side and some data vendors responsible for creating the remainder. In total, 124 entities pay the DSB to create data and/or search for records</w:t>
      </w:r>
      <w:r>
        <w:rPr>
          <w:rFonts w:cstheme="minorHAnsi"/>
        </w:rPr>
        <w:t>, with 60% of this group accessing the DSB in</w:t>
      </w:r>
      <w:r w:rsidRPr="003F5F8A">
        <w:rPr>
          <w:rFonts w:cstheme="minorHAnsi"/>
        </w:rPr>
        <w:t xml:space="preserve"> a programmatic </w:t>
      </w:r>
      <w:r>
        <w:rPr>
          <w:rFonts w:cstheme="minorHAnsi"/>
        </w:rPr>
        <w:t xml:space="preserve">manner. </w:t>
      </w:r>
    </w:p>
    <w:p w:rsidR="00F73E49" w:rsidP="00AB4C9D" w:rsidRDefault="00F73E49" w14:paraId="3E121EC3" w14:textId="3469342D">
      <w:pPr>
        <w:pStyle w:val="ListParagraph"/>
        <w:spacing w:after="120" w:line="276" w:lineRule="auto"/>
        <w:ind w:left="357"/>
        <w:contextualSpacing w:val="0"/>
        <w:jc w:val="both"/>
        <w:rPr>
          <w:rFonts w:cstheme="minorHAnsi"/>
        </w:rPr>
      </w:pPr>
      <w:r>
        <w:rPr>
          <w:rFonts w:cstheme="minorHAnsi"/>
        </w:rPr>
        <w:t>When looking at the full list of organizations that access the DSB today</w:t>
      </w:r>
      <w:r w:rsidDel="008B169F">
        <w:rPr>
          <w:rFonts w:cstheme="minorHAnsi"/>
        </w:rPr>
        <w:t xml:space="preserve"> </w:t>
      </w:r>
      <w:r>
        <w:rPr>
          <w:rFonts w:cstheme="minorHAnsi"/>
        </w:rPr>
        <w:t xml:space="preserve">across both fee paying and free of cost </w:t>
      </w:r>
      <w:r w:rsidRPr="008E5A2E">
        <w:rPr>
          <w:rFonts w:cstheme="minorHAnsi"/>
        </w:rPr>
        <w:t xml:space="preserve">users, 470 </w:t>
      </w:r>
      <w:r w:rsidRPr="008E5A2E" w:rsidR="00667464">
        <w:rPr>
          <w:rFonts w:cstheme="minorHAnsi"/>
        </w:rPr>
        <w:t>organi</w:t>
      </w:r>
      <w:r w:rsidR="00667464">
        <w:rPr>
          <w:rFonts w:cstheme="minorHAnsi"/>
        </w:rPr>
        <w:t>z</w:t>
      </w:r>
      <w:r w:rsidRPr="008E5A2E" w:rsidR="00667464">
        <w:rPr>
          <w:rFonts w:cstheme="minorHAnsi"/>
        </w:rPr>
        <w:t>ations</w:t>
      </w:r>
      <w:r w:rsidRPr="008E5A2E">
        <w:rPr>
          <w:rFonts w:cstheme="minorHAnsi"/>
        </w:rPr>
        <w:t>, almost</w:t>
      </w:r>
      <w:r>
        <w:rPr>
          <w:rFonts w:cstheme="minorHAnsi"/>
        </w:rPr>
        <w:t xml:space="preserve"> 70% do so free of cost to download free to use data files. A further 25% access the DSB to create records, search for records, and download data files, with 3% exclusively creating data, and a further 3% exclusively searching for data. </w:t>
      </w:r>
    </w:p>
    <w:p w:rsidRPr="003F5F8A" w:rsidR="00F73E49" w:rsidP="00AB4C9D" w:rsidRDefault="00F73E49" w14:paraId="5832EB6A" w14:textId="77777777">
      <w:pPr>
        <w:pStyle w:val="ListParagraph"/>
        <w:spacing w:after="120" w:line="276" w:lineRule="auto"/>
        <w:ind w:left="357"/>
        <w:contextualSpacing w:val="0"/>
        <w:jc w:val="both"/>
        <w:rPr>
          <w:shd w:val="clear" w:color="auto" w:fill="FFFFFF"/>
        </w:rPr>
      </w:pPr>
      <w:r w:rsidRPr="003F5F8A">
        <w:rPr>
          <w:rFonts w:cstheme="minorHAnsi"/>
          <w:shd w:val="clear" w:color="auto" w:fill="FFFFFF"/>
        </w:rPr>
        <w:t xml:space="preserve">In addition, the data of DSB </w:t>
      </w:r>
      <w:r>
        <w:rPr>
          <w:rFonts w:cstheme="minorHAnsi"/>
          <w:shd w:val="clear" w:color="auto" w:fill="FFFFFF"/>
        </w:rPr>
        <w:t xml:space="preserve">existing </w:t>
      </w:r>
      <w:r w:rsidRPr="003F5F8A">
        <w:rPr>
          <w:rFonts w:cstheme="minorHAnsi"/>
          <w:shd w:val="clear" w:color="auto" w:fill="FFFFFF"/>
        </w:rPr>
        <w:t xml:space="preserve">users to date shows that in contrast to the creation of data which is driven by the sell-side and execution platforms, consumers of the OTC derivative reference data generated at the DSB represent a substantively broader composition as set out in the following </w:t>
      </w:r>
      <w:r>
        <w:rPr>
          <w:rFonts w:cstheme="minorHAnsi"/>
          <w:shd w:val="clear" w:color="auto" w:fill="FFFFFF"/>
        </w:rPr>
        <w:t xml:space="preserve">diagram. It is a reasonable expectation that while the specific numbers of each type of organisation that accesses the DSB for UPI data will vary from current practice, the overall composition of each organisation type is likely to continue given the divergent reasons that users cite in discussions with the DSB. </w:t>
      </w:r>
    </w:p>
    <w:p w:rsidR="00F73E49" w:rsidP="00F73E49" w:rsidRDefault="00F73E49" w14:paraId="347E33C6" w14:textId="77777777">
      <w:pPr>
        <w:pStyle w:val="ListParagraph"/>
        <w:spacing w:after="120" w:line="276" w:lineRule="auto"/>
        <w:ind w:left="357"/>
        <w:jc w:val="both"/>
        <w:rPr>
          <w:rFonts w:cstheme="minorHAnsi"/>
        </w:rPr>
      </w:pPr>
      <w:r w:rsidRPr="000876F3">
        <w:rPr>
          <w:noProof/>
        </w:rPr>
        <w:drawing>
          <wp:inline distT="0" distB="0" distL="0" distR="0" wp14:anchorId="66BB36B8" wp14:editId="372F20F0">
            <wp:extent cx="5302798"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3">
                      <a:extLst>
                        <a:ext uri="{28A0092B-C50C-407E-A947-70E740481C1C}">
                          <a14:useLocalDpi xmlns:a14="http://schemas.microsoft.com/office/drawing/2010/main" val="0"/>
                        </a:ext>
                      </a:extLst>
                    </a:blip>
                    <a:stretch>
                      <a:fillRect/>
                    </a:stretch>
                  </pic:blipFill>
                  <pic:spPr>
                    <a:xfrm>
                      <a:off x="0" y="0"/>
                      <a:ext cx="5302798" cy="3657600"/>
                    </a:xfrm>
                    <a:prstGeom prst="rect">
                      <a:avLst/>
                    </a:prstGeom>
                  </pic:spPr>
                </pic:pic>
              </a:graphicData>
            </a:graphic>
          </wp:inline>
        </w:drawing>
      </w:r>
    </w:p>
    <w:p w:rsidRPr="00D9326A" w:rsidR="00F73E49" w:rsidP="00AB4C9D" w:rsidRDefault="00F73E49" w14:paraId="68950CD7" w14:textId="77777777">
      <w:pPr>
        <w:spacing w:after="120"/>
        <w:jc w:val="both"/>
        <w:rPr>
          <w:rFonts w:cstheme="minorHAnsi"/>
          <w:sz w:val="4"/>
          <w:szCs w:val="4"/>
        </w:rPr>
      </w:pPr>
    </w:p>
    <w:p w:rsidRPr="003F5F8A" w:rsidR="00F73E49" w:rsidP="00AB4C9D" w:rsidRDefault="00F73E49" w14:paraId="391A931C" w14:textId="77777777">
      <w:pPr>
        <w:pStyle w:val="ListParagraph"/>
        <w:numPr>
          <w:ilvl w:val="0"/>
          <w:numId w:val="11"/>
        </w:numPr>
        <w:spacing w:after="120" w:line="276" w:lineRule="auto"/>
        <w:ind w:left="357" w:hanging="357"/>
        <w:contextualSpacing w:val="0"/>
        <w:jc w:val="both"/>
        <w:rPr>
          <w:rFonts w:cstheme="minorHAnsi"/>
        </w:rPr>
      </w:pPr>
      <w:r w:rsidRPr="003F5F8A">
        <w:rPr>
          <w:rFonts w:cstheme="minorHAnsi"/>
          <w:b/>
          <w:bCs/>
        </w:rPr>
        <w:t xml:space="preserve">UPI Service Provider(s): </w:t>
      </w:r>
      <w:r w:rsidRPr="003F5F8A">
        <w:rPr>
          <w:rFonts w:cstheme="minorHAnsi"/>
        </w:rPr>
        <w:t xml:space="preserve">This entity or these entities should provide for timely issuance of UPI Codes and maintenance of their associated reference data consistent with the UPI Technical Guidance. </w:t>
      </w:r>
    </w:p>
    <w:p w:rsidRPr="001C7D65" w:rsidR="00F73E49" w:rsidP="00AB4C9D" w:rsidRDefault="00F73E49" w14:paraId="4B8A6E71" w14:textId="77777777">
      <w:pPr>
        <w:pStyle w:val="ListParagraph"/>
        <w:numPr>
          <w:ilvl w:val="0"/>
          <w:numId w:val="11"/>
        </w:numPr>
        <w:spacing w:after="120" w:line="276" w:lineRule="auto"/>
        <w:ind w:left="357" w:hanging="357"/>
        <w:contextualSpacing w:val="0"/>
        <w:jc w:val="both"/>
        <w:rPr>
          <w:rFonts w:cstheme="minorHAnsi"/>
        </w:rPr>
      </w:pPr>
      <w:r w:rsidRPr="2A1C6E33">
        <w:rPr>
          <w:b/>
        </w:rPr>
        <w:t>Operator of the UPI Reference Data Library (RDL):</w:t>
      </w:r>
      <w:r w:rsidRPr="2A1C6E33">
        <w:t xml:space="preserve"> an entity that should record all existing UPI Codes and their associated UPI Reference Data. Most respondents to the FSB’s UPI governance consultations did not favour a split between the UPI Service Provider and the Operator of the UPI RDL. On this basis, the DSB is</w:t>
      </w:r>
      <w:r w:rsidRPr="2A1C6E33" w:rsidDel="0028694B">
        <w:t xml:space="preserve"> </w:t>
      </w:r>
      <w:r w:rsidRPr="2A1C6E33">
        <w:t xml:space="preserve">both the UPI Service Provider and the UPI Reference Data Library operator. </w:t>
      </w:r>
    </w:p>
    <w:p w:rsidRPr="003F5F8A" w:rsidR="00F73E49" w:rsidP="00AB4C9D" w:rsidRDefault="00F73E49" w14:paraId="18BBB3A7" w14:textId="77777777">
      <w:pPr>
        <w:pStyle w:val="ListParagraph"/>
        <w:spacing w:after="120" w:line="276" w:lineRule="auto"/>
        <w:ind w:left="357"/>
        <w:contextualSpacing w:val="0"/>
        <w:jc w:val="both"/>
        <w:rPr>
          <w:rFonts w:cstheme="minorHAnsi"/>
        </w:rPr>
      </w:pPr>
      <w:r w:rsidRPr="000876F3">
        <w:rPr>
          <w:noProof/>
        </w:rPr>
        <w:drawing>
          <wp:inline distT="0" distB="0" distL="0" distR="0" wp14:anchorId="260F66D7" wp14:editId="37E8FCCE">
            <wp:extent cx="5731510" cy="32232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p>
    <w:p w:rsidR="00F73E49" w:rsidP="00F73E49" w:rsidRDefault="00F73E49" w14:paraId="73E7D5E5" w14:textId="77777777">
      <w:pPr>
        <w:pStyle w:val="Heading3"/>
      </w:pPr>
      <w:bookmarkStart w:name="_UPI_Governance_Criteria" w:id="597"/>
      <w:bookmarkStart w:name="_Ref58234110" w:id="598"/>
      <w:bookmarkStart w:name="_Ref58234123" w:id="599"/>
      <w:bookmarkStart w:name="_Toc60651764" w:id="600"/>
      <w:bookmarkStart w:name="_Toc69802011" w:id="601"/>
      <w:bookmarkStart w:name="_Toc71369605" w:id="602"/>
      <w:bookmarkEnd w:id="597"/>
      <w:r>
        <w:t>UPI Governance Criteria</w:t>
      </w:r>
      <w:bookmarkEnd w:id="598"/>
      <w:bookmarkEnd w:id="599"/>
      <w:bookmarkEnd w:id="600"/>
      <w:bookmarkEnd w:id="601"/>
      <w:bookmarkEnd w:id="602"/>
    </w:p>
    <w:p w:rsidRPr="009F5C43" w:rsidR="00F73E49" w:rsidP="00AB4C9D" w:rsidRDefault="00F73E49" w14:paraId="2005B64B" w14:textId="77777777">
      <w:pPr>
        <w:rPr>
          <w:rFonts w:cstheme="minorHAnsi"/>
        </w:rPr>
      </w:pPr>
      <w:r w:rsidRPr="003F5F8A">
        <w:rPr>
          <w:rFonts w:cstheme="minorHAnsi"/>
        </w:rPr>
        <w:t>In relation to the governance arrangements, key criteria have been specified by the FSB to guide the choices made. These governance criteria, detailed throughout the FSB governance arrangements consultation process and outlined in the FSB Governance arrangements for the UPI</w:t>
      </w:r>
      <w:r w:rsidRPr="003F5F8A">
        <w:rPr>
          <w:rStyle w:val="FootnoteReference"/>
          <w:rFonts w:cstheme="minorHAnsi"/>
        </w:rPr>
        <w:footnoteReference w:id="38"/>
      </w:r>
      <w:r w:rsidRPr="003F5F8A">
        <w:rPr>
          <w:rFonts w:cstheme="minorHAnsi"/>
        </w:rPr>
        <w:t xml:space="preserve">, are provided below. </w:t>
      </w:r>
    </w:p>
    <w:p w:rsidRPr="009A53EF" w:rsidR="00F73E49" w:rsidP="00AB4C9D" w:rsidRDefault="00F73E49" w14:paraId="162F17B7" w14:textId="77777777">
      <w:pPr>
        <w:rPr>
          <w:rFonts w:cstheme="minorHAnsi"/>
        </w:rPr>
      </w:pPr>
      <w:r w:rsidRPr="003034AA">
        <w:rPr>
          <w:rFonts w:cstheme="minorHAnsi"/>
        </w:rPr>
        <w:t>The governance criteria have been referenced within this paper where related to the UPI fee model principles.</w:t>
      </w:r>
    </w:p>
    <w:p w:rsidRPr="003F5F8A" w:rsidR="00F73E49" w:rsidP="00AB4C9D" w:rsidRDefault="00F73E49" w14:paraId="27AD915D" w14:textId="77777777">
      <w:pPr>
        <w:pStyle w:val="ListParagraph"/>
        <w:numPr>
          <w:ilvl w:val="0"/>
          <w:numId w:val="20"/>
        </w:numPr>
        <w:spacing w:after="0" w:line="276" w:lineRule="auto"/>
        <w:ind w:left="357" w:hanging="357"/>
        <w:contextualSpacing w:val="0"/>
        <w:rPr>
          <w:rFonts w:cstheme="minorHAnsi"/>
          <w:b/>
          <w:bCs/>
        </w:rPr>
      </w:pPr>
      <w:r w:rsidRPr="003F5F8A">
        <w:rPr>
          <w:rFonts w:cstheme="minorHAnsi"/>
          <w:b/>
          <w:bCs/>
        </w:rPr>
        <w:t>Public interest</w:t>
      </w:r>
    </w:p>
    <w:p w:rsidRPr="003F5F8A" w:rsidR="00F73E49" w:rsidP="00AB4C9D" w:rsidRDefault="00F73E49" w14:paraId="48AE5402" w14:textId="77777777">
      <w:pPr>
        <w:rPr>
          <w:rFonts w:cstheme="minorHAnsi"/>
        </w:rPr>
      </w:pPr>
      <w:r w:rsidRPr="003F5F8A">
        <w:rPr>
          <w:rFonts w:cstheme="minorHAnsi"/>
        </w:rPr>
        <w:t>Governance should be driven by the public and regulatory interest.</w:t>
      </w:r>
    </w:p>
    <w:p w:rsidRPr="003F5F8A" w:rsidR="00F73E49" w:rsidP="00AB4C9D" w:rsidRDefault="00F73E49" w14:paraId="62D9A58B" w14:textId="77777777">
      <w:pPr>
        <w:pStyle w:val="ListParagraph"/>
        <w:numPr>
          <w:ilvl w:val="0"/>
          <w:numId w:val="20"/>
        </w:numPr>
        <w:spacing w:after="0" w:line="276" w:lineRule="auto"/>
        <w:ind w:left="357" w:hanging="357"/>
        <w:contextualSpacing w:val="0"/>
        <w:rPr>
          <w:rFonts w:cstheme="minorHAnsi"/>
          <w:b/>
          <w:bCs/>
        </w:rPr>
      </w:pPr>
      <w:r w:rsidRPr="003F5F8A">
        <w:rPr>
          <w:rFonts w:cstheme="minorHAnsi"/>
          <w:b/>
        </w:rPr>
        <w:t>Lean</w:t>
      </w:r>
    </w:p>
    <w:p w:rsidRPr="003F5F8A" w:rsidR="00F73E49" w:rsidP="00AB4C9D" w:rsidRDefault="00F73E49" w14:paraId="52B0B703" w14:textId="77777777">
      <w:pPr>
        <w:rPr>
          <w:rFonts w:cstheme="minorHAnsi"/>
        </w:rPr>
      </w:pPr>
      <w:r w:rsidRPr="003F5F8A">
        <w:rPr>
          <w:rFonts w:cstheme="minorHAnsi"/>
        </w:rPr>
        <w:t>The UPI Governance Arrangements should not be unnecessarily complex or costly.</w:t>
      </w:r>
    </w:p>
    <w:p w:rsidRPr="003F5F8A" w:rsidR="00F73E49" w:rsidP="00AB4C9D" w:rsidRDefault="00F73E49" w14:paraId="6069CF0C" w14:textId="77777777">
      <w:pPr>
        <w:pStyle w:val="ListParagraph"/>
        <w:numPr>
          <w:ilvl w:val="0"/>
          <w:numId w:val="20"/>
        </w:numPr>
        <w:spacing w:after="0" w:line="276" w:lineRule="auto"/>
        <w:ind w:left="357" w:hanging="357"/>
        <w:contextualSpacing w:val="0"/>
        <w:rPr>
          <w:rFonts w:cstheme="minorHAnsi"/>
          <w:b/>
          <w:bCs/>
        </w:rPr>
      </w:pPr>
      <w:r w:rsidRPr="003F5F8A">
        <w:rPr>
          <w:rFonts w:cstheme="minorHAnsi"/>
          <w:b/>
          <w:bCs/>
        </w:rPr>
        <w:t>Change only as needed</w:t>
      </w:r>
    </w:p>
    <w:p w:rsidRPr="009A53EF" w:rsidR="00F73E49" w:rsidP="00AB4C9D" w:rsidRDefault="00F73E49" w14:paraId="5638DAD9" w14:textId="77777777">
      <w:pPr>
        <w:rPr>
          <w:rFonts w:cstheme="minorHAnsi"/>
        </w:rPr>
      </w:pPr>
      <w:r w:rsidRPr="003F5F8A">
        <w:rPr>
          <w:rFonts w:cstheme="minorHAnsi"/>
        </w:rPr>
        <w:t>Revisions to the UPI Governance Arrangements, the UPI Technical Guidance and UPI System should be managed on a need-only basis and consider benefits a</w:t>
      </w:r>
      <w:r w:rsidRPr="009F5C43">
        <w:rPr>
          <w:rFonts w:cstheme="minorHAnsi"/>
        </w:rPr>
        <w:t>nd costs of such rev</w:t>
      </w:r>
      <w:r w:rsidRPr="003034AA">
        <w:rPr>
          <w:rFonts w:cstheme="minorHAnsi"/>
        </w:rPr>
        <w:t>isions to minimise impacts on various stakeholders.</w:t>
      </w:r>
    </w:p>
    <w:p w:rsidRPr="003F5F8A" w:rsidR="00F73E49" w:rsidP="00AB4C9D" w:rsidRDefault="00F73E49" w14:paraId="5E30885A" w14:textId="77777777">
      <w:pPr>
        <w:pStyle w:val="ListParagraph"/>
        <w:numPr>
          <w:ilvl w:val="0"/>
          <w:numId w:val="20"/>
        </w:numPr>
        <w:spacing w:after="0" w:line="276" w:lineRule="auto"/>
        <w:ind w:left="357" w:hanging="357"/>
        <w:contextualSpacing w:val="0"/>
        <w:rPr>
          <w:rFonts w:cstheme="minorHAnsi"/>
          <w:b/>
          <w:bCs/>
        </w:rPr>
      </w:pPr>
      <w:r w:rsidRPr="003F5F8A">
        <w:rPr>
          <w:rFonts w:cstheme="minorHAnsi"/>
          <w:b/>
        </w:rPr>
        <w:t>Consultative change process</w:t>
      </w:r>
    </w:p>
    <w:p w:rsidRPr="006B3EDC" w:rsidR="00F73E49" w:rsidP="00AB4C9D" w:rsidRDefault="00F73E49" w14:paraId="06EBD684" w14:textId="77777777">
      <w:pPr>
        <w:rPr>
          <w:rFonts w:cstheme="minorHAnsi"/>
        </w:rPr>
      </w:pPr>
      <w:r w:rsidRPr="003F5F8A">
        <w:rPr>
          <w:rFonts w:cstheme="minorHAnsi"/>
        </w:rPr>
        <w:t>Changes to the UPI Governance Arrangements, UPI Technical Guidance, and UPI System (except for the day-to-day process of updating the data held in the UPI R</w:t>
      </w:r>
      <w:r w:rsidRPr="009F5C43">
        <w:rPr>
          <w:rFonts w:cstheme="minorHAnsi"/>
        </w:rPr>
        <w:t>eference Data Librar</w:t>
      </w:r>
      <w:r w:rsidRPr="003034AA">
        <w:rPr>
          <w:rFonts w:cstheme="minorHAnsi"/>
        </w:rPr>
        <w:t xml:space="preserve">y) should allow for direct or indirect involvement of stakeholders and should be made </w:t>
      </w:r>
      <w:r w:rsidRPr="009A53EF">
        <w:rPr>
          <w:rFonts w:cstheme="minorHAnsi"/>
        </w:rPr>
        <w:t>after public consultation where appropriate.</w:t>
      </w:r>
    </w:p>
    <w:p w:rsidRPr="003F5F8A" w:rsidR="00F73E49" w:rsidP="00AB4C9D" w:rsidRDefault="00F73E49" w14:paraId="2091360F" w14:textId="77777777">
      <w:pPr>
        <w:pStyle w:val="ListParagraph"/>
        <w:numPr>
          <w:ilvl w:val="0"/>
          <w:numId w:val="20"/>
        </w:numPr>
        <w:spacing w:after="0" w:line="276" w:lineRule="auto"/>
        <w:ind w:left="357" w:hanging="357"/>
        <w:contextualSpacing w:val="0"/>
        <w:rPr>
          <w:rFonts w:cstheme="minorHAnsi"/>
          <w:b/>
          <w:bCs/>
        </w:rPr>
      </w:pPr>
      <w:r w:rsidRPr="003F5F8A">
        <w:rPr>
          <w:rFonts w:cstheme="minorHAnsi"/>
          <w:b/>
        </w:rPr>
        <w:t>Economic sustainability</w:t>
      </w:r>
    </w:p>
    <w:p w:rsidRPr="003F5F8A" w:rsidR="00F73E49" w:rsidP="00AB4C9D" w:rsidRDefault="00F73E49" w14:paraId="7DD3A873" w14:textId="77777777">
      <w:pPr>
        <w:rPr>
          <w:rFonts w:cstheme="minorHAnsi"/>
        </w:rPr>
      </w:pPr>
      <w:r w:rsidRPr="003F5F8A">
        <w:rPr>
          <w:rFonts w:cstheme="minorHAnsi"/>
        </w:rPr>
        <w:t>The UPI Governance Arrangements should be consistent with the need to help ensure the economic sustainability of the UPI System over time.</w:t>
      </w:r>
    </w:p>
    <w:p w:rsidRPr="003F5F8A" w:rsidR="00F73E49" w:rsidP="000876F3" w:rsidRDefault="00F73E49" w14:paraId="3BF23D29" w14:textId="77777777">
      <w:pPr>
        <w:pStyle w:val="ListParagraph"/>
        <w:numPr>
          <w:ilvl w:val="0"/>
          <w:numId w:val="20"/>
        </w:numPr>
        <w:spacing w:after="0" w:line="276" w:lineRule="auto"/>
        <w:rPr>
          <w:rFonts w:cstheme="minorHAnsi"/>
          <w:b/>
          <w:bCs/>
        </w:rPr>
      </w:pPr>
      <w:r w:rsidRPr="003F5F8A">
        <w:rPr>
          <w:rFonts w:cstheme="minorHAnsi"/>
          <w:b/>
        </w:rPr>
        <w:t>Open access</w:t>
      </w:r>
    </w:p>
    <w:p w:rsidRPr="006B3EDC" w:rsidR="00F73E49" w:rsidP="00AB4C9D" w:rsidRDefault="00F73E49" w14:paraId="5721319F" w14:textId="77777777">
      <w:pPr>
        <w:rPr>
          <w:rFonts w:cstheme="minorHAnsi"/>
        </w:rPr>
      </w:pPr>
      <w:r w:rsidRPr="003F5F8A">
        <w:rPr>
          <w:rFonts w:cstheme="minorHAnsi"/>
        </w:rPr>
        <w:t>Access to, and use of, UPI Codes and the UPI Data Standard should be unrestricted. Authorities should have access to, and use of, the UPI Reference Data Library that is similarly unrestr</w:t>
      </w:r>
      <w:r w:rsidRPr="009F5C43">
        <w:rPr>
          <w:rFonts w:cstheme="minorHAnsi"/>
        </w:rPr>
        <w:t>icted. Entities with</w:t>
      </w:r>
      <w:r w:rsidRPr="003034AA">
        <w:rPr>
          <w:rFonts w:cstheme="minorHAnsi"/>
        </w:rPr>
        <w:t xml:space="preserve"> reporting obligations and TRs should have access to, and use of, the UPI Reference Da</w:t>
      </w:r>
      <w:r w:rsidRPr="009A53EF">
        <w:rPr>
          <w:rFonts w:cstheme="minorHAnsi"/>
        </w:rPr>
        <w:t xml:space="preserve">ta Library in a manner that is sufficient to at least </w:t>
      </w:r>
      <w:r w:rsidRPr="006B3EDC">
        <w:rPr>
          <w:rFonts w:cstheme="minorHAnsi"/>
        </w:rPr>
        <w:t>allow them to associate a specific OTC derivative product to its UPI Code in a timely manner and facilitate the discharge of reporting obligations for OTC derivatives transactions.</w:t>
      </w:r>
    </w:p>
    <w:p w:rsidRPr="003F5F8A" w:rsidR="00F73E49" w:rsidP="000876F3" w:rsidRDefault="00F73E49" w14:paraId="2F7997E6" w14:textId="77777777">
      <w:pPr>
        <w:pStyle w:val="ListParagraph"/>
        <w:numPr>
          <w:ilvl w:val="0"/>
          <w:numId w:val="20"/>
        </w:numPr>
        <w:spacing w:after="0" w:line="276" w:lineRule="auto"/>
        <w:rPr>
          <w:rFonts w:cstheme="minorHAnsi"/>
          <w:b/>
          <w:bCs/>
        </w:rPr>
      </w:pPr>
      <w:r w:rsidRPr="003F5F8A">
        <w:rPr>
          <w:rFonts w:cstheme="minorHAnsi"/>
          <w:b/>
        </w:rPr>
        <w:t>Cost</w:t>
      </w:r>
    </w:p>
    <w:p w:rsidRPr="003F5F8A" w:rsidR="00F73E49" w:rsidP="00AB4C9D" w:rsidRDefault="00F73E49" w14:paraId="66C5250C" w14:textId="77777777">
      <w:pPr>
        <w:spacing w:after="240"/>
        <w:rPr>
          <w:rFonts w:cstheme="minorHAnsi"/>
        </w:rPr>
      </w:pPr>
      <w:r w:rsidRPr="003F5F8A">
        <w:rPr>
          <w:rFonts w:cstheme="minorHAnsi"/>
        </w:rPr>
        <w:t>Any fees charged by the UPI Service Provider(s) should be based on cost recovery and should be allocated among stakeholders fairly. For Authorities, use of the UPI System should be free.</w:t>
      </w:r>
    </w:p>
    <w:p w:rsidRPr="003F5F8A" w:rsidR="00F73E49" w:rsidP="000876F3" w:rsidRDefault="00F73E49" w14:paraId="342B3D0A" w14:textId="77777777">
      <w:pPr>
        <w:pStyle w:val="ListParagraph"/>
        <w:numPr>
          <w:ilvl w:val="0"/>
          <w:numId w:val="20"/>
        </w:numPr>
        <w:spacing w:after="0" w:line="276" w:lineRule="auto"/>
        <w:rPr>
          <w:rFonts w:cstheme="minorHAnsi"/>
          <w:b/>
          <w:bCs/>
        </w:rPr>
      </w:pPr>
      <w:r w:rsidRPr="003F5F8A">
        <w:rPr>
          <w:rFonts w:cstheme="minorHAnsi"/>
          <w:b/>
          <w:bCs/>
        </w:rPr>
        <w:t>Intellectual property</w:t>
      </w:r>
    </w:p>
    <w:p w:rsidRPr="003F5F8A" w:rsidR="00F73E49" w:rsidP="00AB4C9D" w:rsidRDefault="00F73E49" w14:paraId="79D16FE3" w14:textId="77777777">
      <w:pPr>
        <w:rPr>
          <w:rFonts w:cstheme="minorHAnsi"/>
        </w:rPr>
      </w:pPr>
      <w:r w:rsidRPr="003F5F8A">
        <w:rPr>
          <w:rFonts w:cstheme="minorHAnsi"/>
        </w:rPr>
        <w:t>The UPI Data Standard should not be subject to any intellectual property restriction. Consistent with this, the use of any UPI Code should be free of licensing restrictions. As to the UPI Reference Data Library, i</w:t>
      </w:r>
      <w:r w:rsidRPr="009F5C43">
        <w:rPr>
          <w:rFonts w:cstheme="minorHAnsi"/>
        </w:rPr>
        <w:t>ntellectual property</w:t>
      </w:r>
      <w:r w:rsidRPr="003034AA">
        <w:rPr>
          <w:rFonts w:cstheme="minorHAnsi"/>
        </w:rPr>
        <w:t xml:space="preserve"> restrictions should be applied in a manner consistent with the rules applicable in a </w:t>
      </w:r>
      <w:r w:rsidRPr="009A53EF">
        <w:rPr>
          <w:rFonts w:cstheme="minorHAnsi"/>
        </w:rPr>
        <w:t>given jurisdiction.</w:t>
      </w:r>
    </w:p>
    <w:p w:rsidRPr="003F5F8A" w:rsidR="00F73E49" w:rsidP="000876F3" w:rsidRDefault="00F73E49" w14:paraId="72BE4DB3" w14:textId="77777777">
      <w:pPr>
        <w:pStyle w:val="ListParagraph"/>
        <w:numPr>
          <w:ilvl w:val="0"/>
          <w:numId w:val="20"/>
        </w:numPr>
        <w:spacing w:after="0" w:line="276" w:lineRule="auto"/>
        <w:rPr>
          <w:rFonts w:cstheme="minorHAnsi"/>
          <w:b/>
          <w:bCs/>
        </w:rPr>
      </w:pPr>
      <w:r w:rsidRPr="003F5F8A">
        <w:rPr>
          <w:rFonts w:cstheme="minorHAnsi"/>
          <w:b/>
        </w:rPr>
        <w:t>Conflicts of interest</w:t>
      </w:r>
    </w:p>
    <w:p w:rsidRPr="003034AA" w:rsidR="00F73E49" w:rsidP="00AB4C9D" w:rsidRDefault="00F73E49" w14:paraId="09B7BE26" w14:textId="77777777">
      <w:pPr>
        <w:rPr>
          <w:rFonts w:cstheme="minorHAnsi"/>
        </w:rPr>
      </w:pPr>
      <w:r w:rsidRPr="003F5F8A">
        <w:rPr>
          <w:rFonts w:cstheme="minorHAnsi"/>
        </w:rPr>
        <w:t xml:space="preserve">The UPI Service Provider(s) should have policies and procedures that are reasonably designed to detect and effectively manage </w:t>
      </w:r>
      <w:r w:rsidRPr="009F5C43">
        <w:rPr>
          <w:rFonts w:cstheme="minorHAnsi"/>
        </w:rPr>
        <w:t>any potential conflict of interest. Access to the UPI should not be tied or bundled with any other services offered by a UPI Service Provider.</w:t>
      </w:r>
    </w:p>
    <w:p w:rsidRPr="003F5F8A" w:rsidR="00F73E49" w:rsidP="000876F3" w:rsidRDefault="00F73E49" w14:paraId="69065D7E" w14:textId="77777777">
      <w:pPr>
        <w:pStyle w:val="ListParagraph"/>
        <w:numPr>
          <w:ilvl w:val="0"/>
          <w:numId w:val="20"/>
        </w:numPr>
        <w:spacing w:after="0" w:line="276" w:lineRule="auto"/>
        <w:rPr>
          <w:rFonts w:cstheme="minorHAnsi"/>
          <w:b/>
          <w:bCs/>
        </w:rPr>
      </w:pPr>
      <w:r w:rsidRPr="003F5F8A">
        <w:rPr>
          <w:rFonts w:cstheme="minorHAnsi"/>
          <w:b/>
          <w:bCs/>
        </w:rPr>
        <w:t>Fit for purpose</w:t>
      </w:r>
    </w:p>
    <w:p w:rsidRPr="003F5F8A" w:rsidR="00F73E49" w:rsidP="00AB4C9D" w:rsidRDefault="00F73E49" w14:paraId="343D92A0" w14:textId="77777777">
      <w:pPr>
        <w:rPr>
          <w:rFonts w:cstheme="minorHAnsi"/>
        </w:rPr>
      </w:pPr>
      <w:r w:rsidRPr="003F5F8A">
        <w:rPr>
          <w:rFonts w:cstheme="minorHAnsi"/>
        </w:rPr>
        <w:t>UPI Governance Arrangements should be able to perform the relevant functions identified in a timely and efficient manner and should have reasonable access to the necessary resources and information to do this. UPI Governance Arrangements should maintain the fitness of the UPI System and UPI Technical Guidance for the needs of Authorities.</w:t>
      </w:r>
    </w:p>
    <w:p w:rsidRPr="003F5F8A" w:rsidR="00F73E49" w:rsidP="000876F3" w:rsidRDefault="00F73E49" w14:paraId="392ED486" w14:textId="77777777">
      <w:pPr>
        <w:pStyle w:val="ListParagraph"/>
        <w:numPr>
          <w:ilvl w:val="0"/>
          <w:numId w:val="20"/>
        </w:numPr>
        <w:spacing w:after="0" w:line="276" w:lineRule="auto"/>
        <w:rPr>
          <w:rFonts w:cstheme="minorHAnsi"/>
          <w:b/>
          <w:bCs/>
        </w:rPr>
      </w:pPr>
      <w:r w:rsidRPr="003F5F8A">
        <w:rPr>
          <w:rFonts w:cstheme="minorHAnsi"/>
          <w:b/>
          <w:bCs/>
        </w:rPr>
        <w:t>Consideration of other Governance Frameworks</w:t>
      </w:r>
    </w:p>
    <w:p w:rsidRPr="003F5F8A" w:rsidR="00F73E49" w:rsidP="00AB4C9D" w:rsidRDefault="00F73E49" w14:paraId="549BEEB2" w14:textId="77777777">
      <w:pPr>
        <w:rPr>
          <w:rFonts w:cstheme="minorHAnsi"/>
        </w:rPr>
      </w:pPr>
      <w:r w:rsidRPr="003F5F8A">
        <w:rPr>
          <w:rFonts w:cstheme="minorHAnsi"/>
        </w:rPr>
        <w:t>Governance Frameworks for the UPI should take into consideration other Governance Frameworks that impact other data elements, such as the LEI, the UTI, and other critical data elements for OTC derivatives.</w:t>
      </w:r>
    </w:p>
    <w:p w:rsidRPr="003F5F8A" w:rsidR="00F73E49" w:rsidP="000876F3" w:rsidRDefault="00F73E49" w14:paraId="7D211095" w14:textId="77777777">
      <w:pPr>
        <w:pStyle w:val="ListParagraph"/>
        <w:numPr>
          <w:ilvl w:val="0"/>
          <w:numId w:val="20"/>
        </w:numPr>
        <w:spacing w:after="0" w:line="276" w:lineRule="auto"/>
        <w:rPr>
          <w:rFonts w:cstheme="minorHAnsi"/>
          <w:b/>
          <w:bCs/>
        </w:rPr>
      </w:pPr>
      <w:r w:rsidRPr="003F5F8A">
        <w:rPr>
          <w:rFonts w:cstheme="minorHAnsi"/>
          <w:b/>
          <w:bCs/>
        </w:rPr>
        <w:t>Operational viability and continuity of UPI Service Provider operations</w:t>
      </w:r>
    </w:p>
    <w:p w:rsidRPr="006B3EDC" w:rsidR="00F73E49" w:rsidP="00AB4C9D" w:rsidRDefault="00F73E49" w14:paraId="78860FDF" w14:textId="77777777">
      <w:pPr>
        <w:spacing w:after="360"/>
        <w:rPr>
          <w:rFonts w:cstheme="minorHAnsi"/>
        </w:rPr>
      </w:pPr>
      <w:r w:rsidRPr="003F5F8A">
        <w:rPr>
          <w:rFonts w:cstheme="minorHAnsi"/>
        </w:rPr>
        <w:t>Governance of the UPI System should be such that any UPI Service Provider should be required to have adequate resources, legal authorities, and reasonable policies and pro</w:t>
      </w:r>
      <w:r w:rsidRPr="009F5C43">
        <w:rPr>
          <w:rFonts w:cstheme="minorHAnsi"/>
        </w:rPr>
        <w:t>cedures in place designated or</w:t>
      </w:r>
      <w:r w:rsidRPr="003034AA">
        <w:rPr>
          <w:rFonts w:cstheme="minorHAnsi"/>
        </w:rPr>
        <w:t xml:space="preserve"> adequate to ensure operational viability, system security, and business and </w:t>
      </w:r>
      <w:r w:rsidRPr="009A53EF">
        <w:rPr>
          <w:rFonts w:cstheme="minorHAnsi"/>
        </w:rPr>
        <w:t>system continuity and succession, so a</w:t>
      </w:r>
      <w:r w:rsidRPr="006B3EDC">
        <w:rPr>
          <w:rFonts w:cstheme="minorHAnsi"/>
        </w:rPr>
        <w:t>s to enable it to operate securely and effectively as a UPI Service Provider.</w:t>
      </w:r>
    </w:p>
    <w:p w:rsidRPr="00A65594" w:rsidR="00F73E49" w:rsidP="00F73E49" w:rsidRDefault="00F73E49" w14:paraId="4A1BE602" w14:textId="77777777">
      <w:pPr>
        <w:pStyle w:val="Heading2"/>
        <w:spacing w:before="0" w:line="276" w:lineRule="auto"/>
        <w:jc w:val="both"/>
        <w:rPr>
          <w:lang w:val="it-IT"/>
        </w:rPr>
      </w:pPr>
      <w:bookmarkStart w:name="_Ref66996685" w:id="603"/>
      <w:bookmarkStart w:name="_Toc69802012" w:id="604"/>
      <w:bookmarkStart w:name="_Toc71369606" w:id="605"/>
      <w:r>
        <w:rPr>
          <w:lang w:val="it-IT"/>
        </w:rPr>
        <w:t>Appendix 4 – A</w:t>
      </w:r>
      <w:r w:rsidRPr="00A65594">
        <w:rPr>
          <w:lang w:val="it-IT"/>
        </w:rPr>
        <w:t>ssumptions</w:t>
      </w:r>
      <w:bookmarkEnd w:id="603"/>
      <w:bookmarkEnd w:id="604"/>
      <w:bookmarkEnd w:id="605"/>
      <w:r w:rsidRPr="00A65594">
        <w:rPr>
          <w:lang w:val="it-IT"/>
        </w:rPr>
        <w:t xml:space="preserve"> </w:t>
      </w:r>
    </w:p>
    <w:p w:rsidR="00F73E49" w:rsidP="00AB4C9D" w:rsidRDefault="00F73E49" w14:paraId="2B53A847" w14:textId="791BF2C7">
      <w:pPr>
        <w:spacing w:after="240"/>
        <w:jc w:val="both"/>
        <w:rPr>
          <w:rFonts w:cstheme="minorHAnsi"/>
        </w:rPr>
      </w:pPr>
      <w:r w:rsidRPr="009F5C43">
        <w:rPr>
          <w:rFonts w:cstheme="minorHAnsi"/>
        </w:rPr>
        <w:t>The DSB</w:t>
      </w:r>
      <w:r w:rsidRPr="003034AA">
        <w:rPr>
          <w:rFonts w:cstheme="minorHAnsi"/>
        </w:rPr>
        <w:t xml:space="preserve"> assumptions set out below underpin the core approach for the UPI service implementation, and thus impact user fees</w:t>
      </w:r>
      <w:r>
        <w:rPr>
          <w:rFonts w:cstheme="minorHAnsi"/>
        </w:rPr>
        <w:t>, which are used for cost recovery</w:t>
      </w:r>
      <w:r>
        <w:rPr>
          <w:rStyle w:val="FootnoteReference"/>
          <w:rFonts w:cstheme="minorHAnsi"/>
        </w:rPr>
        <w:footnoteReference w:id="39"/>
      </w:r>
      <w:r>
        <w:rPr>
          <w:rFonts w:cstheme="minorHAnsi"/>
        </w:rPr>
        <w:t>. Estimated costs will be included in the next consultation, including a breakdown of the key cost components</w:t>
      </w:r>
      <w:r w:rsidR="00D8601F">
        <w:rPr>
          <w:rFonts w:cstheme="minorHAnsi"/>
        </w:rPr>
        <w:t xml:space="preserve"> subject to the feedback received in this paper</w:t>
      </w:r>
      <w:r w:rsidR="00C23741">
        <w:rPr>
          <w:rFonts w:cstheme="minorHAnsi"/>
        </w:rPr>
        <w:t>.</w:t>
      </w:r>
      <w:r>
        <w:rPr>
          <w:rFonts w:cstheme="minorHAnsi"/>
        </w:rPr>
        <w:t xml:space="preserve"> </w:t>
      </w:r>
    </w:p>
    <w:p w:rsidR="00F73E49" w:rsidP="00AB4C9D" w:rsidRDefault="00F73E49" w14:paraId="436B858F" w14:textId="397E0806">
      <w:pPr>
        <w:spacing w:after="240"/>
        <w:jc w:val="both"/>
        <w:rPr>
          <w:rFonts w:cstheme="minorHAnsi"/>
        </w:rPr>
      </w:pPr>
      <w:r w:rsidRPr="003034AA">
        <w:rPr>
          <w:rFonts w:cstheme="minorHAnsi"/>
        </w:rPr>
        <w:t xml:space="preserve">This section includes </w:t>
      </w:r>
      <w:r w:rsidRPr="009A53EF">
        <w:rPr>
          <w:rFonts w:cstheme="minorHAnsi"/>
        </w:rPr>
        <w:t xml:space="preserve">DSB expectations about </w:t>
      </w:r>
      <w:r w:rsidRPr="006B3EDC">
        <w:rPr>
          <w:rFonts w:cstheme="minorHAnsi"/>
        </w:rPr>
        <w:t xml:space="preserve">jurisdictions’ existing or proposed regulatory adoption of rules </w:t>
      </w:r>
      <w:r>
        <w:rPr>
          <w:rFonts w:cstheme="minorHAnsi"/>
        </w:rPr>
        <w:t>implementing</w:t>
      </w:r>
      <w:r w:rsidRPr="001E12ED">
        <w:rPr>
          <w:rFonts w:cstheme="minorHAnsi"/>
        </w:rPr>
        <w:t xml:space="preserve"> UPI</w:t>
      </w:r>
      <w:r w:rsidRPr="006B3EDC">
        <w:rPr>
          <w:rFonts w:cstheme="minorHAnsi"/>
        </w:rPr>
        <w:t xml:space="preserve"> as a product identifier, the estimated number of UPIs to be created (based on the data elements specified in the UPI Technical Guidance document and available to the DSB via an existing service, the OTC ISIN service provision), DSB expectations regarding alignment of the UPI with other international standards, and the existing service model that the DSB seeks to leverage in application of the Lean governance criteria,</w:t>
      </w:r>
      <w:r w:rsidRPr="003F5F8A">
        <w:rPr>
          <w:rStyle w:val="normaltextrun"/>
          <w:rFonts w:cstheme="minorHAnsi"/>
          <w:color w:val="000000"/>
        </w:rPr>
        <w:t xml:space="preserve"> described in section</w:t>
      </w:r>
      <w:r w:rsidRPr="003F5F8A">
        <w:rPr>
          <w:rStyle w:val="normaltextrun"/>
          <w:rFonts w:cstheme="minorHAnsi"/>
          <w:i/>
          <w:iCs/>
          <w:color w:val="000000"/>
        </w:rPr>
        <w:t xml:space="preserve"> </w:t>
      </w:r>
      <w:r>
        <w:rPr>
          <w:rStyle w:val="normaltextrun"/>
          <w:rFonts w:cstheme="minorHAnsi"/>
          <w:i/>
          <w:iCs/>
          <w:color w:val="000000"/>
        </w:rPr>
        <w:fldChar w:fldCharType="begin"/>
      </w:r>
      <w:r>
        <w:rPr>
          <w:rStyle w:val="normaltextrun"/>
          <w:rFonts w:cstheme="minorHAnsi"/>
          <w:i/>
          <w:iCs/>
          <w:color w:val="000000"/>
        </w:rPr>
        <w:instrText xml:space="preserve"> REF _Ref58234110 \r \h </w:instrText>
      </w:r>
      <w:r>
        <w:rPr>
          <w:rStyle w:val="normaltextrun"/>
          <w:rFonts w:cstheme="minorHAnsi"/>
          <w:i/>
          <w:iCs/>
          <w:color w:val="000000"/>
        </w:rPr>
      </w:r>
      <w:r>
        <w:rPr>
          <w:rStyle w:val="normaltextrun"/>
          <w:rFonts w:cstheme="minorHAnsi"/>
          <w:i/>
          <w:iCs/>
          <w:color w:val="000000"/>
        </w:rPr>
        <w:fldChar w:fldCharType="separate"/>
      </w:r>
      <w:r w:rsidR="00AB4C9D">
        <w:rPr>
          <w:rStyle w:val="normaltextrun"/>
          <w:rFonts w:cstheme="minorHAnsi"/>
          <w:i/>
          <w:iCs/>
          <w:color w:val="000000"/>
        </w:rPr>
        <w:t>5.2.2</w:t>
      </w:r>
      <w:r>
        <w:rPr>
          <w:rStyle w:val="normaltextrun"/>
          <w:rFonts w:cstheme="minorHAnsi"/>
          <w:i/>
          <w:iCs/>
          <w:color w:val="000000"/>
        </w:rPr>
        <w:fldChar w:fldCharType="end"/>
      </w:r>
      <w:r w:rsidRPr="003F5F8A">
        <w:rPr>
          <w:rStyle w:val="normaltextrun"/>
          <w:rFonts w:cstheme="minorHAnsi"/>
          <w:i/>
          <w:color w:val="000000"/>
        </w:rPr>
        <w:fldChar w:fldCharType="begin"/>
      </w:r>
      <w:r w:rsidRPr="003F5F8A">
        <w:rPr>
          <w:rStyle w:val="normaltextrun"/>
          <w:rFonts w:cstheme="minorHAnsi"/>
          <w:i/>
          <w:color w:val="000000"/>
        </w:rPr>
        <w:instrText xml:space="preserve"> REF _Ref58234123 \h  \* MERGEFORMAT </w:instrText>
      </w:r>
      <w:r w:rsidRPr="003F5F8A">
        <w:rPr>
          <w:rStyle w:val="normaltextrun"/>
          <w:rFonts w:cstheme="minorHAnsi"/>
          <w:i/>
          <w:color w:val="000000"/>
        </w:rPr>
      </w:r>
      <w:r w:rsidRPr="003F5F8A">
        <w:rPr>
          <w:rStyle w:val="normaltextrun"/>
          <w:rFonts w:cstheme="minorHAnsi"/>
          <w:i/>
          <w:color w:val="000000"/>
        </w:rPr>
        <w:fldChar w:fldCharType="separate"/>
      </w:r>
      <w:r w:rsidRPr="003D3315" w:rsidR="003D3315">
        <w:rPr>
          <w:rFonts w:cstheme="minorHAnsi"/>
          <w:i/>
          <w:iCs/>
        </w:rPr>
        <w:t>UPI Governance Criteria</w:t>
      </w:r>
      <w:r w:rsidRPr="003F5F8A">
        <w:rPr>
          <w:rStyle w:val="normaltextrun"/>
          <w:rFonts w:cstheme="minorHAnsi"/>
          <w:i/>
          <w:color w:val="000000"/>
        </w:rPr>
        <w:fldChar w:fldCharType="end"/>
      </w:r>
      <w:r w:rsidRPr="003F5F8A">
        <w:rPr>
          <w:rFonts w:cstheme="minorHAnsi"/>
        </w:rPr>
        <w:t xml:space="preserve">, in order to minimize delivery and implementation costs accrued </w:t>
      </w:r>
      <w:r w:rsidRPr="009F5C43">
        <w:rPr>
          <w:rFonts w:cstheme="minorHAnsi"/>
        </w:rPr>
        <w:t xml:space="preserve">by clients.  </w:t>
      </w:r>
    </w:p>
    <w:p w:rsidRPr="009F5C43" w:rsidR="00F73E49" w:rsidP="00AB4C9D" w:rsidRDefault="00F73E49" w14:paraId="0EEF89A8" w14:textId="77777777">
      <w:pPr>
        <w:spacing w:after="240"/>
        <w:jc w:val="both"/>
        <w:rPr>
          <w:rFonts w:cstheme="minorHAnsi"/>
        </w:rPr>
      </w:pPr>
      <w:r>
        <w:rPr>
          <w:rFonts w:cstheme="minorHAnsi"/>
        </w:rPr>
        <w:t xml:space="preserve">With respect to the fee model related considerations set out in this paper, the DSB </w:t>
      </w:r>
      <w:proofErr w:type="spellStart"/>
      <w:r>
        <w:rPr>
          <w:rFonts w:cstheme="minorHAnsi"/>
        </w:rPr>
        <w:t>recognises</w:t>
      </w:r>
      <w:proofErr w:type="spellEnd"/>
      <w:r>
        <w:rPr>
          <w:rFonts w:cstheme="minorHAnsi"/>
        </w:rPr>
        <w:t xml:space="preserve"> the need for revaluation following initial adoption of the UPI service to ensure that that the UPI model remains fit for purpose. As such, the DSB intends to consult on the key aspects underlying the fee model 2 years after launch of the UPI service. </w:t>
      </w:r>
    </w:p>
    <w:p w:rsidR="00F73E49" w:rsidP="00F73E49" w:rsidRDefault="00F73E49" w14:paraId="1680A92E" w14:textId="77777777">
      <w:pPr>
        <w:pStyle w:val="Heading3"/>
      </w:pPr>
      <w:bookmarkStart w:name="_Ref60648775" w:id="606"/>
      <w:bookmarkStart w:name="_Toc60651768" w:id="607"/>
      <w:bookmarkStart w:name="_Toc69802013" w:id="608"/>
      <w:bookmarkStart w:name="_Toc71369607" w:id="609"/>
      <w:r>
        <w:t>Leveraging the DSB’s Existing Service Provision</w:t>
      </w:r>
      <w:bookmarkEnd w:id="606"/>
      <w:bookmarkEnd w:id="607"/>
      <w:bookmarkEnd w:id="608"/>
      <w:bookmarkEnd w:id="609"/>
      <w:r>
        <w:t xml:space="preserve"> </w:t>
      </w:r>
    </w:p>
    <w:p w:rsidRPr="00B56B63" w:rsidR="00F73E49" w:rsidP="00AB4C9D" w:rsidRDefault="00F73E49" w14:paraId="60E7178F" w14:textId="77777777">
      <w:pPr>
        <w:jc w:val="both"/>
      </w:pPr>
      <w:r w:rsidRPr="003F5F8A">
        <w:t>Leveraging the DSB’s existing service provision seeks to provide two primary benefits – the first is a r</w:t>
      </w:r>
      <w:r w:rsidRPr="009F5C43">
        <w:t xml:space="preserve">eduction of the UPI user fee </w:t>
      </w:r>
      <w:r w:rsidRPr="00B56B63">
        <w:t xml:space="preserve">burden by minimizing implementation and run costs for the DSB, and the second is a reduction of the user’s own technology burden so that the several hundred institutions already connected to the DSB can overlay their UPI related workflows in a manner that is more integrated with their other OTC derivative reference data needs. </w:t>
      </w:r>
    </w:p>
    <w:p w:rsidRPr="00B56B63" w:rsidR="00F73E49" w:rsidP="00AB4C9D" w:rsidRDefault="00F73E49" w14:paraId="1C7FBE97" w14:textId="77777777">
      <w:pPr>
        <w:jc w:val="both"/>
      </w:pPr>
      <w:r w:rsidRPr="00B56B63">
        <w:t xml:space="preserve">The DSB is the golden source of the OTC ISIN, CFI and FISN for OTC derivative instruments, for institutions located in or trading with counterparties in the European Union (EU) and the United Kingdom (UK). </w:t>
      </w:r>
    </w:p>
    <w:p w:rsidRPr="00B56B63" w:rsidR="00F73E49" w:rsidP="00AB4C9D" w:rsidRDefault="00F73E49" w14:paraId="6BBF6113" w14:textId="77777777">
      <w:pPr>
        <w:jc w:val="both"/>
      </w:pPr>
      <w:r w:rsidRPr="00B56B63">
        <w:t>The allocation of ISINs, CFI and FISNs for OTC derivatives as well as the provision of access to the OTC ISIN archive and associated reference data, comprise the numbering agency function of the DSB. This function is overseen by ANNA as the Registration Authority for ISIN and FISN standards under contract with the ISO requiring strict adherence to principles over business and technical operations. This includes limiting user fees to cost recovery and requiring reasonable and non-discriminatory (RAND) access to data.</w:t>
      </w:r>
    </w:p>
    <w:p w:rsidRPr="003F5F8A" w:rsidR="00F73E49" w:rsidP="00AB4C9D" w:rsidRDefault="00F73E49" w14:paraId="27FBF4EA" w14:textId="3436F222">
      <w:pPr>
        <w:jc w:val="both"/>
      </w:pPr>
      <w:r w:rsidRPr="00B56B63">
        <w:t xml:space="preserve">Implementation of OTC ISIN, FISN and CFI codes for OTC derivatives has been achieved through ongoing, collaborative work with market participants, regulators and other standards bodies. The DSB </w:t>
      </w:r>
      <w:proofErr w:type="spellStart"/>
      <w:r w:rsidRPr="00B56B63">
        <w:t>utilises</w:t>
      </w:r>
      <w:proofErr w:type="spellEnd"/>
      <w:r w:rsidRPr="00B56B63">
        <w:t xml:space="preserve"> a consultative change process, also specified within the UPI governance criteria</w:t>
      </w:r>
      <w:r w:rsidRPr="00B56B63">
        <w:rPr>
          <w:rStyle w:val="normaltextrun"/>
          <w:rFonts w:ascii="Calibri" w:hAnsi="Calibri" w:cs="Calibri"/>
          <w:color w:val="000000"/>
        </w:rPr>
        <w:t xml:space="preserve"> described in section </w:t>
      </w:r>
      <w:r w:rsidRPr="003F5F8A">
        <w:rPr>
          <w:rStyle w:val="normaltextrun"/>
          <w:rFonts w:ascii="Calibri" w:hAnsi="Calibri" w:cs="Calibri"/>
          <w:i/>
          <w:color w:val="000000"/>
        </w:rPr>
        <w:fldChar w:fldCharType="begin"/>
      </w:r>
      <w:r w:rsidRPr="00B56B63">
        <w:rPr>
          <w:rStyle w:val="normaltextrun"/>
          <w:rFonts w:ascii="Calibri" w:hAnsi="Calibri" w:cs="Calibri"/>
          <w:i/>
          <w:color w:val="000000"/>
        </w:rPr>
        <w:instrText xml:space="preserve"> REF _Ref58234110 \r \h  \* MERGEFORMAT </w:instrText>
      </w:r>
      <w:r w:rsidRPr="003F5F8A">
        <w:rPr>
          <w:rStyle w:val="normaltextrun"/>
          <w:rFonts w:ascii="Calibri" w:hAnsi="Calibri" w:cs="Calibri"/>
          <w:i/>
          <w:color w:val="000000"/>
        </w:rPr>
      </w:r>
      <w:r w:rsidRPr="003F5F8A">
        <w:rPr>
          <w:rStyle w:val="normaltextrun"/>
          <w:rFonts w:ascii="Calibri" w:hAnsi="Calibri" w:cs="Calibri"/>
          <w:i/>
          <w:color w:val="000000"/>
        </w:rPr>
        <w:fldChar w:fldCharType="separate"/>
      </w:r>
      <w:r w:rsidR="00AB4C9D">
        <w:rPr>
          <w:rStyle w:val="normaltextrun"/>
          <w:rFonts w:ascii="Calibri" w:hAnsi="Calibri" w:cs="Calibri"/>
          <w:i/>
          <w:color w:val="000000"/>
        </w:rPr>
        <w:t>5.2.2</w:t>
      </w:r>
      <w:r w:rsidRPr="003F5F8A">
        <w:rPr>
          <w:rStyle w:val="normaltextrun"/>
          <w:rFonts w:ascii="Calibri" w:hAnsi="Calibri" w:cs="Calibri"/>
          <w:i/>
          <w:color w:val="000000"/>
        </w:rPr>
        <w:fldChar w:fldCharType="end"/>
      </w:r>
      <w:r w:rsidRPr="003F5F8A">
        <w:rPr>
          <w:rStyle w:val="normaltextrun"/>
          <w:rFonts w:ascii="Calibri" w:hAnsi="Calibri" w:cs="Calibri"/>
          <w:i/>
          <w:iCs/>
          <w:color w:val="000000"/>
        </w:rPr>
        <w:t xml:space="preserve"> </w:t>
      </w:r>
      <w:r w:rsidRPr="003F5F8A">
        <w:rPr>
          <w:rStyle w:val="normaltextrun"/>
          <w:rFonts w:ascii="Calibri" w:hAnsi="Calibri" w:cs="Calibri"/>
          <w:i/>
          <w:color w:val="000000"/>
        </w:rPr>
        <w:fldChar w:fldCharType="begin"/>
      </w:r>
      <w:r w:rsidRPr="00B56B63">
        <w:rPr>
          <w:rStyle w:val="normaltextrun"/>
          <w:rFonts w:ascii="Calibri" w:hAnsi="Calibri" w:cs="Calibri"/>
          <w:i/>
          <w:color w:val="000000"/>
        </w:rPr>
        <w:instrText xml:space="preserve"> REF _Ref58234123 \h  \* MERGEFORMAT </w:instrText>
      </w:r>
      <w:r w:rsidRPr="003F5F8A">
        <w:rPr>
          <w:rStyle w:val="normaltextrun"/>
          <w:rFonts w:ascii="Calibri" w:hAnsi="Calibri" w:cs="Calibri"/>
          <w:i/>
          <w:color w:val="000000"/>
        </w:rPr>
      </w:r>
      <w:r w:rsidRPr="003F5F8A">
        <w:rPr>
          <w:rStyle w:val="normaltextrun"/>
          <w:rFonts w:ascii="Calibri" w:hAnsi="Calibri" w:cs="Calibri"/>
          <w:i/>
          <w:color w:val="000000"/>
        </w:rPr>
        <w:fldChar w:fldCharType="separate"/>
      </w:r>
      <w:r w:rsidRPr="003D3315" w:rsidR="003D3315">
        <w:rPr>
          <w:i/>
          <w:iCs/>
        </w:rPr>
        <w:t>UPI Governance Criteria</w:t>
      </w:r>
      <w:r w:rsidRPr="003F5F8A">
        <w:rPr>
          <w:rStyle w:val="normaltextrun"/>
          <w:rFonts w:ascii="Calibri" w:hAnsi="Calibri" w:cs="Calibri"/>
          <w:i/>
          <w:color w:val="000000"/>
        </w:rPr>
        <w:fldChar w:fldCharType="end"/>
      </w:r>
      <w:r w:rsidRPr="003F5F8A">
        <w:t xml:space="preserve">, to allow for stakeholder input to shape the evolution of the service. </w:t>
      </w:r>
    </w:p>
    <w:p w:rsidRPr="00B56B63" w:rsidR="00F73E49" w:rsidP="00AB4C9D" w:rsidRDefault="00F73E49" w14:paraId="07EF74C7" w14:textId="77777777">
      <w:pPr>
        <w:jc w:val="both"/>
      </w:pPr>
      <w:r w:rsidRPr="009F5C43">
        <w:t>In addition to the application of the cost recovery and RAND (unrestricted data and open access) principles, the DS</w:t>
      </w:r>
      <w:r w:rsidRPr="00B56B63">
        <w:t xml:space="preserve">B also ensures equal treatment of all users through </w:t>
      </w:r>
      <w:proofErr w:type="spellStart"/>
      <w:r w:rsidRPr="00B56B63">
        <w:t>utilisation</w:t>
      </w:r>
      <w:proofErr w:type="spellEnd"/>
      <w:r w:rsidRPr="00B56B63">
        <w:t xml:space="preserve"> of a common agreement, and the levy of user fees through annual contracts that require payment in advance. These principles aim to secure the financial sustainability of the DSB as well as provide parity and efficiency in delivery of service.</w:t>
      </w:r>
    </w:p>
    <w:p w:rsidRPr="00B56B63" w:rsidR="00F73E49" w:rsidP="00AB4C9D" w:rsidRDefault="00F73E49" w14:paraId="085F9983" w14:textId="77777777">
      <w:pPr>
        <w:jc w:val="both"/>
      </w:pPr>
      <w:r w:rsidRPr="00B56B63">
        <w:t>The current level of OTC ISIN, CFI and FISN generated by the DSB is designed to enable users to satisfy obligations under the European Regulations MiFID</w:t>
      </w:r>
      <w:r w:rsidRPr="003F5F8A">
        <w:rPr>
          <w:rStyle w:val="FootnoteReference"/>
        </w:rPr>
        <w:footnoteReference w:id="40"/>
      </w:r>
      <w:r w:rsidRPr="003F5F8A">
        <w:t xml:space="preserve"> II and MiFIR</w:t>
      </w:r>
      <w:r w:rsidRPr="003F5F8A">
        <w:rPr>
          <w:rStyle w:val="FootnoteReference"/>
        </w:rPr>
        <w:footnoteReference w:id="41"/>
      </w:r>
      <w:r w:rsidRPr="003F5F8A">
        <w:t>, with the capability of an identification hierarchy to be introduced as required by industry, such as UPI. This hierarchical framework, with specific consideration of t</w:t>
      </w:r>
      <w:r w:rsidRPr="009F5C43">
        <w:t xml:space="preserve">he UPI, was developed as part of the DSB core design following the recommendations from an ISO study group when defining the </w:t>
      </w:r>
      <w:r w:rsidRPr="00B56B63">
        <w:t xml:space="preserve">OTC ISIN. In addition, the CFI codes for OTC derivatives generated by the DSB assist industry’s regulatory reporting needs, demonstrating the value of consistently generated identifiers and classification codes that can be efficiently consumed by all users of DSB data. </w:t>
      </w:r>
    </w:p>
    <w:p w:rsidR="00F73E49" w:rsidP="00AB4C9D" w:rsidRDefault="00F73E49" w14:paraId="5690F84D" w14:textId="77777777">
      <w:pPr>
        <w:jc w:val="both"/>
      </w:pPr>
      <w:r w:rsidRPr="00B56B63">
        <w:t xml:space="preserve">The DSB currently facilitates access for a broad spectrum of users, including credit institutions, small brokerages, private wealth management firms, boutique asset managers, large, multi-segment and/or multi-market trading venues, derivatives houses from across the buy and sell-sides and universal-bank style sell-side institutions with multiple business segments within a single group holding structure. </w:t>
      </w:r>
    </w:p>
    <w:p w:rsidRPr="00B56B63" w:rsidR="00F73E49" w:rsidP="00AB4C9D" w:rsidRDefault="00F73E49" w14:paraId="12928747" w14:textId="77777777">
      <w:pPr>
        <w:jc w:val="both"/>
      </w:pPr>
      <w:r w:rsidRPr="00B56B63">
        <w:t xml:space="preserve">This consultation requesting feedback to help shape the DSB’s service development has been </w:t>
      </w:r>
      <w:r>
        <w:t xml:space="preserve">made publicly available on the </w:t>
      </w:r>
      <w:hyperlink w:history="1" r:id="rId25">
        <w:r w:rsidRPr="000C0630">
          <w:rPr>
            <w:rStyle w:val="Hyperlink"/>
          </w:rPr>
          <w:t>DSB website</w:t>
        </w:r>
      </w:hyperlink>
      <w:r w:rsidRPr="000C0630">
        <w:rPr>
          <w:rStyle w:val="FootnoteReference"/>
        </w:rPr>
        <w:footnoteReference w:id="42"/>
      </w:r>
      <w:r>
        <w:t xml:space="preserve"> and promoted globally via press release, as well as </w:t>
      </w:r>
      <w:r w:rsidRPr="00B56B63">
        <w:t xml:space="preserve">sent to the DSB’s </w:t>
      </w:r>
      <w:r>
        <w:t xml:space="preserve">existing </w:t>
      </w:r>
      <w:r w:rsidRPr="00B56B63">
        <w:t>user community, comprising more than 4,100 individuals across 470 organizations</w:t>
      </w:r>
      <w:r>
        <w:t>.</w:t>
      </w:r>
      <w:r w:rsidRPr="00B56B63">
        <w:t xml:space="preserve"> </w:t>
      </w:r>
      <w:r>
        <w:t>In addition, it has been shared</w:t>
      </w:r>
      <w:r w:rsidRPr="00B56B63">
        <w:t xml:space="preserve"> with the regulatory community for onward distribution to each jurisdiction’s market participants that will be required to submit UPIs as part of their regulatory reporting requirements. The DSB has also worked with major trade associations and participants in each of its industry forums to raise awareness of the consultation, its purpose and intended timelines. </w:t>
      </w:r>
    </w:p>
    <w:p w:rsidRPr="00B56B63" w:rsidR="00F73E49" w:rsidP="00AB4C9D" w:rsidRDefault="00F73E49" w14:paraId="1A5C7873" w14:textId="77777777">
      <w:pPr>
        <w:spacing w:after="60"/>
        <w:jc w:val="both"/>
      </w:pPr>
      <w:r>
        <w:t>Within t</w:t>
      </w:r>
      <w:r w:rsidRPr="00B56B63">
        <w:t>he DSB</w:t>
      </w:r>
      <w:r>
        <w:t xml:space="preserve"> existing service provision, access is provided </w:t>
      </w:r>
      <w:r w:rsidRPr="00B56B63">
        <w:t xml:space="preserve">to users on the following basis: </w:t>
      </w:r>
    </w:p>
    <w:p w:rsidRPr="003F5F8A" w:rsidR="00F73E49" w:rsidP="00AB4C9D" w:rsidRDefault="00F73E49" w14:paraId="68859C75" w14:textId="77777777">
      <w:pPr>
        <w:pStyle w:val="ListParagraph"/>
        <w:numPr>
          <w:ilvl w:val="0"/>
          <w:numId w:val="15"/>
        </w:numPr>
        <w:spacing w:after="360" w:line="276" w:lineRule="auto"/>
        <w:jc w:val="both"/>
      </w:pPr>
      <w:r w:rsidRPr="003F5F8A">
        <w:rPr>
          <w:u w:val="single"/>
        </w:rPr>
        <w:t>Power User</w:t>
      </w:r>
      <w:r w:rsidRPr="003F5F8A">
        <w:t>: programmatic connectivity for high volume creation and search services (paid usage)</w:t>
      </w:r>
      <w:bookmarkStart w:name="_Ref60844628" w:id="610"/>
      <w:r>
        <w:rPr>
          <w:rStyle w:val="FootnoteReference"/>
        </w:rPr>
        <w:footnoteReference w:id="43"/>
      </w:r>
      <w:bookmarkEnd w:id="610"/>
      <w:r w:rsidRPr="003F5F8A">
        <w:t xml:space="preserve"> </w:t>
      </w:r>
    </w:p>
    <w:p w:rsidRPr="003F5F8A" w:rsidR="00F73E49" w:rsidP="00AB4C9D" w:rsidRDefault="00F73E49" w14:paraId="68D015AF" w14:textId="77777777">
      <w:pPr>
        <w:pStyle w:val="ListParagraph"/>
        <w:numPr>
          <w:ilvl w:val="0"/>
          <w:numId w:val="15"/>
        </w:numPr>
        <w:spacing w:after="360" w:line="276" w:lineRule="auto"/>
        <w:jc w:val="both"/>
      </w:pPr>
      <w:r w:rsidRPr="003F5F8A">
        <w:rPr>
          <w:u w:val="single"/>
        </w:rPr>
        <w:t>Standard User</w:t>
      </w:r>
      <w:r w:rsidRPr="003F5F8A">
        <w:t xml:space="preserve">: manual creation and search services for lower volume users, using </w:t>
      </w:r>
      <w:hyperlink w:history="1" r:id="rId26">
        <w:r w:rsidRPr="003F5F8A">
          <w:rPr>
            <w:rStyle w:val="Hyperlink"/>
          </w:rPr>
          <w:t>a web-front end</w:t>
        </w:r>
      </w:hyperlink>
      <w:r w:rsidRPr="003F5F8A">
        <w:t xml:space="preserve"> (paid usage) </w:t>
      </w:r>
    </w:p>
    <w:p w:rsidRPr="003F5F8A" w:rsidR="00F73E49" w:rsidP="00AB4C9D" w:rsidRDefault="00F73E49" w14:paraId="11DCCAF8" w14:textId="77777777">
      <w:pPr>
        <w:pStyle w:val="ListParagraph"/>
        <w:numPr>
          <w:ilvl w:val="0"/>
          <w:numId w:val="15"/>
        </w:numPr>
        <w:spacing w:after="360" w:line="276" w:lineRule="auto"/>
        <w:jc w:val="both"/>
      </w:pPr>
      <w:r w:rsidRPr="003F5F8A">
        <w:rPr>
          <w:u w:val="single"/>
        </w:rPr>
        <w:t>Infrequent User</w:t>
      </w:r>
      <w:r w:rsidRPr="003F5F8A">
        <w:t xml:space="preserve">: manual creation and limited search services using </w:t>
      </w:r>
      <w:hyperlink w:history="1" r:id="rId27">
        <w:r w:rsidRPr="003F5F8A">
          <w:rPr>
            <w:rStyle w:val="Hyperlink"/>
          </w:rPr>
          <w:t>a web-front end</w:t>
        </w:r>
      </w:hyperlink>
      <w:r w:rsidRPr="003F5F8A">
        <w:rPr>
          <w:rStyle w:val="Hyperlink"/>
        </w:rPr>
        <w:t xml:space="preserve"> </w:t>
      </w:r>
      <w:r w:rsidRPr="003F5F8A">
        <w:t>– targeted towards very low volume users, with a limit on the number of search results returned and an unlimited number of searches</w:t>
      </w:r>
      <w:r w:rsidRPr="003F5F8A">
        <w:rPr>
          <w:rStyle w:val="FootnoteReference"/>
        </w:rPr>
        <w:footnoteReference w:id="44"/>
      </w:r>
      <w:r w:rsidRPr="003F5F8A">
        <w:t xml:space="preserve"> (paid usage) </w:t>
      </w:r>
    </w:p>
    <w:p w:rsidRPr="003F5F8A" w:rsidR="00F73E49" w:rsidP="00AB4C9D" w:rsidRDefault="00F73E49" w14:paraId="5E635140" w14:textId="77777777">
      <w:pPr>
        <w:pStyle w:val="ListParagraph"/>
        <w:numPr>
          <w:ilvl w:val="0"/>
          <w:numId w:val="15"/>
        </w:numPr>
        <w:spacing w:after="120" w:line="276" w:lineRule="auto"/>
        <w:ind w:left="714" w:hanging="357"/>
        <w:contextualSpacing w:val="0"/>
        <w:jc w:val="both"/>
      </w:pPr>
      <w:r w:rsidRPr="003F5F8A">
        <w:rPr>
          <w:u w:val="single"/>
        </w:rPr>
        <w:t>Registered User</w:t>
      </w:r>
      <w:r w:rsidRPr="003F5F8A">
        <w:t xml:space="preserve">: manual search services using </w:t>
      </w:r>
      <w:hyperlink w:history="1" r:id="rId28">
        <w:r w:rsidRPr="003F5F8A">
          <w:rPr>
            <w:rStyle w:val="Hyperlink"/>
          </w:rPr>
          <w:t>a web-front end</w:t>
        </w:r>
      </w:hyperlink>
      <w:r w:rsidRPr="003F5F8A">
        <w:t xml:space="preserve">, with a limit on the number of search results returned and an unlimited number of searches (free to use) </w:t>
      </w:r>
    </w:p>
    <w:p w:rsidR="00F73E49" w:rsidP="00AB4C9D" w:rsidRDefault="00F73E49" w14:paraId="2330F731" w14:textId="77777777">
      <w:pPr>
        <w:spacing w:after="120"/>
        <w:jc w:val="both"/>
        <w:rPr>
          <w:rStyle w:val="normaltextrun"/>
          <w:rFonts w:cstheme="minorHAnsi"/>
          <w:bCs/>
          <w:color w:val="000000"/>
        </w:rPr>
      </w:pPr>
      <w:r>
        <w:t xml:space="preserve">Irrespective of </w:t>
      </w:r>
      <w:r>
        <w:rPr>
          <w:rStyle w:val="normaltextrun"/>
          <w:rFonts w:cstheme="minorHAnsi"/>
          <w:bCs/>
          <w:color w:val="000000"/>
        </w:rPr>
        <w:t xml:space="preserve">user type, all DSB users can search for OTC derivative data in near real-time by logging on to the DSB’s web front end, conducting a manual search, and downloading the specific record of interest in machine readable format. Market participants are also able to obtain the OTC derivative identifier from their counterparty, or from their trade execution platform and use the identifier as part of their trading workflows.  </w:t>
      </w:r>
    </w:p>
    <w:p w:rsidR="00F73E49" w:rsidP="00AB4C9D" w:rsidRDefault="00F73E49" w14:paraId="2887DEB4" w14:textId="77777777">
      <w:pPr>
        <w:spacing w:after="120"/>
        <w:jc w:val="both"/>
      </w:pPr>
      <w:r w:rsidRPr="003F5F8A">
        <w:t xml:space="preserve">In addition, to the </w:t>
      </w:r>
      <w:r>
        <w:t xml:space="preserve">user </w:t>
      </w:r>
      <w:r w:rsidRPr="003F5F8A">
        <w:t>services listed above, all DSB users of the CFI, FISN and OTC ISIN service are able to download machine readable records and have free o</w:t>
      </w:r>
      <w:r w:rsidRPr="009F5C43">
        <w:t>f cost access to (London) end of day files containing a list of all new OTC ISIN records created or updated tha</w:t>
      </w:r>
      <w:r w:rsidRPr="00B56B63">
        <w:t>t day.</w:t>
      </w:r>
      <w:r>
        <w:t xml:space="preserve"> </w:t>
      </w:r>
    </w:p>
    <w:p w:rsidRPr="003F5F8A" w:rsidR="00F73E49" w:rsidP="00F73E49" w:rsidRDefault="00F73E49" w14:paraId="7F77794D" w14:textId="77777777">
      <w:pPr>
        <w:pStyle w:val="paragraph"/>
        <w:spacing w:before="0" w:beforeAutospacing="0" w:after="120" w:afterAutospacing="0" w:line="276" w:lineRule="auto"/>
        <w:jc w:val="both"/>
        <w:textAlignment w:val="baseline"/>
        <w:rPr>
          <w:rStyle w:val="normaltextrun"/>
          <w:rFonts w:asciiTheme="minorHAnsi" w:hAnsiTheme="minorHAnsi" w:cstheme="minorHAnsi"/>
          <w:bCs/>
          <w:color w:val="000000"/>
          <w:sz w:val="22"/>
          <w:szCs w:val="22"/>
        </w:rPr>
      </w:pPr>
      <w:r w:rsidRPr="003F5F8A">
        <w:rPr>
          <w:rStyle w:val="normaltextrun"/>
          <w:rFonts w:asciiTheme="minorHAnsi" w:hAnsiTheme="minorHAnsi" w:cstheme="minorHAnsi"/>
          <w:bCs/>
          <w:color w:val="000000"/>
          <w:sz w:val="22"/>
          <w:szCs w:val="22"/>
        </w:rPr>
        <w:t xml:space="preserve">Following </w:t>
      </w:r>
      <w:r>
        <w:rPr>
          <w:rStyle w:val="normaltextrun"/>
          <w:rFonts w:asciiTheme="minorHAnsi" w:hAnsiTheme="minorHAnsi" w:cstheme="minorHAnsi"/>
          <w:bCs/>
          <w:color w:val="000000"/>
          <w:sz w:val="22"/>
          <w:szCs w:val="22"/>
        </w:rPr>
        <w:t xml:space="preserve">DSB </w:t>
      </w:r>
      <w:r w:rsidRPr="003F5F8A">
        <w:rPr>
          <w:rStyle w:val="normaltextrun"/>
          <w:rFonts w:asciiTheme="minorHAnsi" w:hAnsiTheme="minorHAnsi" w:cstheme="minorHAnsi"/>
          <w:bCs/>
          <w:color w:val="000000"/>
          <w:sz w:val="22"/>
          <w:szCs w:val="22"/>
        </w:rPr>
        <w:t xml:space="preserve">user feedback in response to the </w:t>
      </w:r>
      <w:r>
        <w:rPr>
          <w:rStyle w:val="normaltextrun"/>
          <w:rFonts w:asciiTheme="minorHAnsi" w:hAnsiTheme="minorHAnsi" w:cstheme="minorHAnsi"/>
          <w:bCs/>
          <w:color w:val="000000"/>
          <w:sz w:val="22"/>
          <w:szCs w:val="22"/>
        </w:rPr>
        <w:t xml:space="preserve">OTC ISIN service </w:t>
      </w:r>
      <w:r w:rsidRPr="003F5F8A">
        <w:rPr>
          <w:rStyle w:val="normaltextrun"/>
          <w:rFonts w:asciiTheme="minorHAnsi" w:hAnsiTheme="minorHAnsi" w:cstheme="minorHAnsi"/>
          <w:bCs/>
          <w:color w:val="000000"/>
          <w:sz w:val="22"/>
          <w:szCs w:val="22"/>
        </w:rPr>
        <w:t>industry consultation conducted in 2020</w:t>
      </w:r>
      <w:r>
        <w:rPr>
          <w:rStyle w:val="FootnoteReference"/>
          <w:rFonts w:asciiTheme="minorHAnsi" w:hAnsiTheme="minorHAnsi" w:cstheme="minorHAnsi"/>
          <w:bCs/>
          <w:color w:val="000000"/>
          <w:sz w:val="22"/>
          <w:szCs w:val="22"/>
        </w:rPr>
        <w:footnoteReference w:id="45"/>
      </w:r>
      <w:r w:rsidRPr="003F5F8A">
        <w:rPr>
          <w:rStyle w:val="normaltextrun"/>
          <w:rFonts w:asciiTheme="minorHAnsi" w:hAnsiTheme="minorHAnsi" w:cstheme="minorHAnsi"/>
          <w:bCs/>
          <w:color w:val="000000"/>
          <w:sz w:val="22"/>
          <w:szCs w:val="22"/>
        </w:rPr>
        <w:t>, t</w:t>
      </w:r>
      <w:r w:rsidRPr="00B56B63">
        <w:rPr>
          <w:rStyle w:val="normaltextrun"/>
          <w:rFonts w:asciiTheme="minorHAnsi" w:hAnsiTheme="minorHAnsi" w:cstheme="minorHAnsi"/>
          <w:bCs/>
          <w:color w:val="000000"/>
          <w:sz w:val="22"/>
          <w:szCs w:val="22"/>
        </w:rPr>
        <w:t xml:space="preserve">he DSB will also be introducing two additional user services in 2021, the search-only Application Programming Interface (API) user to enable lower volume users requiring systematic access </w:t>
      </w:r>
      <w:r>
        <w:rPr>
          <w:rStyle w:val="normaltextrun"/>
          <w:rFonts w:asciiTheme="minorHAnsi" w:hAnsiTheme="minorHAnsi" w:cstheme="minorHAnsi"/>
          <w:bCs/>
          <w:color w:val="000000"/>
          <w:sz w:val="22"/>
          <w:szCs w:val="22"/>
        </w:rPr>
        <w:t xml:space="preserve">for search-only </w:t>
      </w:r>
      <w:r w:rsidRPr="00B56B63">
        <w:rPr>
          <w:rStyle w:val="normaltextrun"/>
          <w:rFonts w:asciiTheme="minorHAnsi" w:hAnsiTheme="minorHAnsi" w:cstheme="minorHAnsi"/>
          <w:bCs/>
          <w:color w:val="000000"/>
          <w:sz w:val="22"/>
          <w:szCs w:val="22"/>
        </w:rPr>
        <w:t xml:space="preserve">on a paid basis, and a snapshot user where an existing user of the DSB can request access to stand-alone data snapshots for any/all asset classes over a specified time horizon to mitigate any internal technology constraints in downloading and consolidating the data.  </w:t>
      </w:r>
    </w:p>
    <w:p w:rsidRPr="00B56B63" w:rsidR="00F73E49" w:rsidP="00AB4C9D" w:rsidRDefault="00F73E49" w14:paraId="25757DFA" w14:textId="77777777">
      <w:pPr>
        <w:spacing w:after="120"/>
        <w:jc w:val="both"/>
      </w:pPr>
      <w:r w:rsidRPr="00B56B63">
        <w:t xml:space="preserve">The DSB’s TAC set up a TAC Strategy Sub-Committee (TAC SSC) which reviews workflow and infrastructure related elements of the DSB’s UPI implementation. The TAC SSC (which is comprised of both DSB and external stakeholders) has produced an interim report that made recommendations to the broader TAC on a range of UPI technology integration related topics, to enable broader discussion of the subject. </w:t>
      </w:r>
    </w:p>
    <w:p w:rsidRPr="00B56B63" w:rsidR="00F73E49" w:rsidP="00AB4C9D" w:rsidRDefault="00F73E49" w14:paraId="276EB52A" w14:textId="77777777">
      <w:pPr>
        <w:spacing w:after="120"/>
        <w:jc w:val="both"/>
      </w:pPr>
      <w:r w:rsidRPr="00B56B63">
        <w:t xml:space="preserve">The interim report and associated proposals and assumptions will be discussed at a series of TAC SSC meetings in 2021, to enable the TAC SSC membership to review progress with respect to the findings of the interim report, the assumptions, recommendations, and questions that were raised in the document. The findings of the TAC SSC will be presented to the broader TAC and the final recommendations and any associated cost implications will be taken forward for review by the DSB Board for final review and decision making. </w:t>
      </w:r>
    </w:p>
    <w:p w:rsidRPr="00B56B63" w:rsidR="00F73E49" w:rsidP="00AB4C9D" w:rsidRDefault="00F73E49" w14:paraId="5D28E1D3" w14:textId="77777777">
      <w:pPr>
        <w:spacing w:after="120"/>
        <w:jc w:val="both"/>
      </w:pPr>
      <w:r w:rsidRPr="00B56B63">
        <w:t xml:space="preserve">The DSB serves 70% of its users at no charge, and the remainder on a cost recovery basis, with user </w:t>
      </w:r>
      <w:r>
        <w:t xml:space="preserve">numbers </w:t>
      </w:r>
      <w:r w:rsidRPr="00B56B63">
        <w:t xml:space="preserve">having direct input into the primary fee variables. All DSB users can contribute directly to the service evolution via both an annual consultation process and two industry driven user forums – the PC and TAC. </w:t>
      </w:r>
    </w:p>
    <w:p w:rsidRPr="00B56B63" w:rsidR="00F73E49" w:rsidP="00AB4C9D" w:rsidRDefault="00F73E49" w14:paraId="046C4621" w14:textId="77777777">
      <w:pPr>
        <w:spacing w:after="120"/>
        <w:jc w:val="both"/>
      </w:pPr>
      <w:r w:rsidRPr="00B56B63">
        <w:t xml:space="preserve">DSB users can obtain the required OTC derivative identifier via several channels and use the record as part of their trade workflow, with more sophisticated users obtaining data via several means and others focusing on a single channel as best suited to the organization’s commercial, strategic and tactical needs. </w:t>
      </w:r>
    </w:p>
    <w:p w:rsidRPr="00B56B63" w:rsidR="00F73E49" w:rsidP="00AB4C9D" w:rsidRDefault="00F73E49" w14:paraId="48CB17BC" w14:textId="77777777">
      <w:pPr>
        <w:spacing w:after="120"/>
        <w:jc w:val="both"/>
      </w:pPr>
      <w:r w:rsidRPr="00B56B63">
        <w:t xml:space="preserve">Some ways in which users </w:t>
      </w:r>
      <w:r>
        <w:t>will</w:t>
      </w:r>
      <w:r w:rsidRPr="00B56B63">
        <w:t xml:space="preserve"> obtain the OTC derivative CFI, UPI and/or OTC ISIN include: </w:t>
      </w:r>
    </w:p>
    <w:p w:rsidRPr="003F5F8A" w:rsidR="00F73E49" w:rsidP="000876F3" w:rsidRDefault="00F73E49" w14:paraId="325A6688" w14:textId="77777777">
      <w:pPr>
        <w:pStyle w:val="ListParagraph"/>
        <w:numPr>
          <w:ilvl w:val="0"/>
          <w:numId w:val="15"/>
        </w:numPr>
        <w:autoSpaceDE w:val="0"/>
        <w:autoSpaceDN w:val="0"/>
        <w:adjustRightInd w:val="0"/>
        <w:spacing w:before="120" w:after="120" w:line="276" w:lineRule="auto"/>
        <w:ind w:right="115"/>
        <w:contextualSpacing w:val="0"/>
        <w:jc w:val="both"/>
      </w:pPr>
      <w:r w:rsidRPr="003F5F8A">
        <w:t>from their counterparty</w:t>
      </w:r>
    </w:p>
    <w:p w:rsidRPr="003F5F8A" w:rsidR="00F73E49" w:rsidP="000876F3" w:rsidRDefault="00F73E49" w14:paraId="511C4413" w14:textId="77777777">
      <w:pPr>
        <w:pStyle w:val="ListParagraph"/>
        <w:numPr>
          <w:ilvl w:val="0"/>
          <w:numId w:val="15"/>
        </w:numPr>
        <w:autoSpaceDE w:val="0"/>
        <w:autoSpaceDN w:val="0"/>
        <w:adjustRightInd w:val="0"/>
        <w:spacing w:before="120" w:after="120" w:line="276" w:lineRule="auto"/>
        <w:ind w:right="115"/>
        <w:contextualSpacing w:val="0"/>
        <w:jc w:val="both"/>
      </w:pPr>
      <w:r w:rsidRPr="003F5F8A">
        <w:t xml:space="preserve">from the execution platform on which the trade was done </w:t>
      </w:r>
    </w:p>
    <w:p w:rsidRPr="003F5F8A" w:rsidR="00F73E49" w:rsidP="000876F3" w:rsidRDefault="00F73E49" w14:paraId="446C707B" w14:textId="77777777">
      <w:pPr>
        <w:pStyle w:val="ListParagraph"/>
        <w:numPr>
          <w:ilvl w:val="0"/>
          <w:numId w:val="15"/>
        </w:numPr>
        <w:autoSpaceDE w:val="0"/>
        <w:autoSpaceDN w:val="0"/>
        <w:adjustRightInd w:val="0"/>
        <w:spacing w:before="120" w:after="120" w:line="276" w:lineRule="auto"/>
        <w:ind w:right="115"/>
        <w:contextualSpacing w:val="0"/>
        <w:jc w:val="both"/>
      </w:pPr>
      <w:r w:rsidRPr="003F5F8A">
        <w:t xml:space="preserve">connect directly to the DSB (via an </w:t>
      </w:r>
      <w:r>
        <w:t>A</w:t>
      </w:r>
      <w:r w:rsidRPr="003F5F8A">
        <w:t xml:space="preserve">PI, the web-front end, or download data) </w:t>
      </w:r>
    </w:p>
    <w:p w:rsidRPr="003F5F8A" w:rsidR="00F73E49" w:rsidP="000876F3" w:rsidRDefault="00F73E49" w14:paraId="0F2407E3" w14:textId="77777777">
      <w:pPr>
        <w:pStyle w:val="ListParagraph"/>
        <w:numPr>
          <w:ilvl w:val="0"/>
          <w:numId w:val="15"/>
        </w:numPr>
        <w:autoSpaceDE w:val="0"/>
        <w:autoSpaceDN w:val="0"/>
        <w:adjustRightInd w:val="0"/>
        <w:spacing w:before="120" w:after="120" w:line="276" w:lineRule="auto"/>
        <w:ind w:right="115"/>
        <w:contextualSpacing w:val="0"/>
        <w:jc w:val="both"/>
      </w:pPr>
      <w:r w:rsidRPr="003F5F8A">
        <w:t xml:space="preserve">from an intermediary – either a data or technology vendor </w:t>
      </w:r>
    </w:p>
    <w:p w:rsidRPr="00B56B63" w:rsidR="00F73E49" w:rsidP="00AB4C9D" w:rsidRDefault="00F73E49" w14:paraId="744F43D6" w14:textId="77777777">
      <w:r w:rsidRPr="003F5F8A">
        <w:t xml:space="preserve">Experience with the OTC ISIN thus far indicates that many users have over time sought to connect directly to the DSB to supplement their reference data workflows for a variety of reasons, which include </w:t>
      </w:r>
      <w:r w:rsidRPr="009F5C43">
        <w:t xml:space="preserve">but are not </w:t>
      </w:r>
      <w:r w:rsidRPr="00B56B63">
        <w:t xml:space="preserve">limited to timeliness, efficiency, cost, etc. </w:t>
      </w:r>
    </w:p>
    <w:p w:rsidRPr="003F5F8A" w:rsidR="00F73E49" w:rsidP="00AB4C9D" w:rsidRDefault="00F73E49" w14:paraId="1FEA67AC" w14:textId="1546D2D2">
      <w:pPr>
        <w:spacing w:after="360"/>
        <w:jc w:val="both"/>
      </w:pPr>
      <w:r w:rsidRPr="00B56B63">
        <w:t xml:space="preserve">Given the synergies between the DSB’s existing service and the forthcoming UPI service, leveraging the existing </w:t>
      </w:r>
      <w:r w:rsidRPr="00B56B63">
        <w:rPr>
          <w:rStyle w:val="normaltextrun"/>
          <w:rFonts w:ascii="Calibri" w:hAnsi="Calibri" w:cs="Calibri"/>
          <w:color w:val="000000" w:themeColor="text1"/>
        </w:rPr>
        <w:t xml:space="preserve">staff, systems and processes </w:t>
      </w:r>
      <w:r w:rsidRPr="00B56B63">
        <w:t>as far as practicable, allows for strong application of the Lean governance criteria,</w:t>
      </w:r>
      <w:r w:rsidRPr="00B56B63">
        <w:rPr>
          <w:rStyle w:val="normaltextrun"/>
          <w:rFonts w:ascii="Calibri" w:hAnsi="Calibri" w:cs="Calibri"/>
          <w:color w:val="000000"/>
        </w:rPr>
        <w:t xml:space="preserve"> described in section </w:t>
      </w:r>
      <w:r w:rsidRPr="003F5F8A">
        <w:rPr>
          <w:rStyle w:val="normaltextrun"/>
          <w:rFonts w:ascii="Calibri" w:hAnsi="Calibri" w:cs="Calibri"/>
          <w:i/>
          <w:color w:val="000000"/>
        </w:rPr>
        <w:fldChar w:fldCharType="begin"/>
      </w:r>
      <w:r w:rsidRPr="00B56B63">
        <w:rPr>
          <w:rStyle w:val="normaltextrun"/>
          <w:rFonts w:ascii="Calibri" w:hAnsi="Calibri" w:cs="Calibri"/>
          <w:i/>
          <w:color w:val="000000"/>
        </w:rPr>
        <w:instrText xml:space="preserve"> REF _Ref58234110 \r \h  \* MERGEFORMAT </w:instrText>
      </w:r>
      <w:r w:rsidRPr="003F5F8A">
        <w:rPr>
          <w:rStyle w:val="normaltextrun"/>
          <w:rFonts w:ascii="Calibri" w:hAnsi="Calibri" w:cs="Calibri"/>
          <w:i/>
          <w:color w:val="000000"/>
        </w:rPr>
      </w:r>
      <w:r w:rsidRPr="003F5F8A">
        <w:rPr>
          <w:rStyle w:val="normaltextrun"/>
          <w:rFonts w:ascii="Calibri" w:hAnsi="Calibri" w:cs="Calibri"/>
          <w:i/>
          <w:color w:val="000000"/>
        </w:rPr>
        <w:fldChar w:fldCharType="separate"/>
      </w:r>
      <w:r w:rsidR="00AB4C9D">
        <w:rPr>
          <w:rStyle w:val="normaltextrun"/>
          <w:rFonts w:ascii="Calibri" w:hAnsi="Calibri" w:cs="Calibri"/>
          <w:i/>
          <w:color w:val="000000"/>
        </w:rPr>
        <w:t>5.2.2</w:t>
      </w:r>
      <w:r w:rsidRPr="003F5F8A">
        <w:rPr>
          <w:rStyle w:val="normaltextrun"/>
          <w:rFonts w:ascii="Calibri" w:hAnsi="Calibri" w:cs="Calibri"/>
          <w:i/>
          <w:color w:val="000000"/>
        </w:rPr>
        <w:fldChar w:fldCharType="end"/>
      </w:r>
      <w:r w:rsidRPr="003F5F8A">
        <w:rPr>
          <w:rStyle w:val="normaltextrun"/>
          <w:rFonts w:ascii="Calibri" w:hAnsi="Calibri" w:cs="Calibri"/>
          <w:i/>
          <w:iCs/>
          <w:color w:val="000000"/>
        </w:rPr>
        <w:t xml:space="preserve"> </w:t>
      </w:r>
      <w:r w:rsidRPr="003F5F8A">
        <w:rPr>
          <w:rStyle w:val="normaltextrun"/>
          <w:rFonts w:ascii="Calibri" w:hAnsi="Calibri" w:cs="Calibri"/>
          <w:i/>
          <w:color w:val="000000"/>
        </w:rPr>
        <w:fldChar w:fldCharType="begin"/>
      </w:r>
      <w:r w:rsidRPr="00B56B63">
        <w:rPr>
          <w:rStyle w:val="normaltextrun"/>
          <w:rFonts w:ascii="Calibri" w:hAnsi="Calibri" w:cs="Calibri"/>
          <w:i/>
          <w:color w:val="000000"/>
        </w:rPr>
        <w:instrText xml:space="preserve"> REF _Ref58234123 \h  \* MERGEFORMAT </w:instrText>
      </w:r>
      <w:r w:rsidRPr="003F5F8A">
        <w:rPr>
          <w:rStyle w:val="normaltextrun"/>
          <w:rFonts w:ascii="Calibri" w:hAnsi="Calibri" w:cs="Calibri"/>
          <w:i/>
          <w:color w:val="000000"/>
        </w:rPr>
      </w:r>
      <w:r w:rsidRPr="003F5F8A">
        <w:rPr>
          <w:rStyle w:val="normaltextrun"/>
          <w:rFonts w:ascii="Calibri" w:hAnsi="Calibri" w:cs="Calibri"/>
          <w:i/>
          <w:color w:val="000000"/>
        </w:rPr>
        <w:fldChar w:fldCharType="separate"/>
      </w:r>
      <w:r w:rsidRPr="003D3315" w:rsidR="003D3315">
        <w:rPr>
          <w:i/>
          <w:iCs/>
        </w:rPr>
        <w:t>UPI Governance Criteria</w:t>
      </w:r>
      <w:r w:rsidRPr="003F5F8A">
        <w:rPr>
          <w:rStyle w:val="normaltextrun"/>
          <w:rFonts w:ascii="Calibri" w:hAnsi="Calibri" w:cs="Calibri"/>
          <w:i/>
          <w:color w:val="000000"/>
        </w:rPr>
        <w:fldChar w:fldCharType="end"/>
      </w:r>
      <w:r w:rsidRPr="003F5F8A">
        <w:t>.</w:t>
      </w:r>
    </w:p>
    <w:p w:rsidRPr="00BE4D05" w:rsidR="00F73E49" w:rsidP="00F73E49" w:rsidRDefault="00F73E49" w14:paraId="7E97FFEE" w14:textId="77777777">
      <w:pPr>
        <w:pStyle w:val="Heading3"/>
      </w:pPr>
      <w:bookmarkStart w:name="_Toc60651769" w:id="611"/>
      <w:bookmarkStart w:name="_Toc69802014" w:id="612"/>
      <w:bookmarkStart w:name="_Ref71187481" w:id="613"/>
      <w:bookmarkStart w:name="_Toc71369608" w:id="614"/>
      <w:r>
        <w:t>Alignment of the UPI with ot</w:t>
      </w:r>
      <w:r w:rsidRPr="00BE4D05">
        <w:t xml:space="preserve">her </w:t>
      </w:r>
      <w:r>
        <w:t>internationally recognised data standards</w:t>
      </w:r>
      <w:bookmarkEnd w:id="611"/>
      <w:bookmarkEnd w:id="612"/>
      <w:bookmarkEnd w:id="613"/>
      <w:bookmarkEnd w:id="614"/>
      <w:r>
        <w:t xml:space="preserve">  </w:t>
      </w:r>
    </w:p>
    <w:p w:rsidR="00F73E49" w:rsidP="00AB4C9D" w:rsidRDefault="00F73E49" w14:paraId="2842547C" w14:textId="77777777">
      <w:pPr>
        <w:jc w:val="both"/>
      </w:pPr>
      <w:r>
        <w:t xml:space="preserve">The aim of seeking alignment is to allow both the DSB and DSB users to maintain a clear data hierarchy when utilizing each of the CFI, UPI, OTC ISIN, and FISN more easily and consistently. </w:t>
      </w:r>
    </w:p>
    <w:p w:rsidR="00F73E49" w:rsidP="00AB4C9D" w:rsidRDefault="00F73E49" w14:paraId="13AFD8D0" w14:textId="77777777">
      <w:pPr>
        <w:jc w:val="both"/>
      </w:pPr>
      <w:r>
        <w:t xml:space="preserve">The DSB is responsible for serving the needs of OTC derivatives market participants through the allocation and distribution of OTC ISINs, the CFI code, and the FISN – all globally recognised and adopted ISO standards. Each standard has an individual purpose and complements each of the other standards. They are each respectively used for identifying, classifying, and describing financial instruments. </w:t>
      </w:r>
    </w:p>
    <w:p w:rsidR="00F73E49" w:rsidP="00AB4C9D" w:rsidRDefault="00F73E49" w14:paraId="5C1D6D24" w14:textId="77777777">
      <w:pPr>
        <w:jc w:val="both"/>
      </w:pPr>
      <w:r w:rsidRPr="00DC41D1">
        <w:t>The UPI, currently being developed as an ISO standard (ISO/WD 4914), will sit within the suite of ISO standards provided by the DSB as a product level identifier, reflecting a subset of the data elements required for OTC ISIN</w:t>
      </w:r>
      <w:r>
        <w:t xml:space="preserve">. </w:t>
      </w:r>
      <w:r w:rsidRPr="00DC41D1">
        <w:t>This means the UPI is anticipated to sit between the CFI and OTC ISIN representing an identification framework for OTC derivatives</w:t>
      </w:r>
      <w:r>
        <w:t xml:space="preserve">. </w:t>
      </w:r>
    </w:p>
    <w:p w:rsidRPr="009204CF" w:rsidR="00F73E49" w:rsidP="00AB4C9D" w:rsidRDefault="00F73E49" w14:paraId="6FF0E627" w14:textId="3DF9F5FA">
      <w:pPr>
        <w:jc w:val="both"/>
      </w:pPr>
      <w:r w:rsidRPr="009204CF">
        <w:t>The UPI must</w:t>
      </w:r>
      <w:r>
        <w:t xml:space="preserve"> therefore</w:t>
      </w:r>
      <w:r w:rsidRPr="009204CF">
        <w:t xml:space="preserve"> be fully consistent with the principles set out in the UPI Technical Guidance, which sets out technical requirements for a UPI Code and related reference data, and any further guidance provided by </w:t>
      </w:r>
      <w:r>
        <w:t xml:space="preserve">the ROC.  </w:t>
      </w:r>
    </w:p>
    <w:p w:rsidR="00F73E49" w:rsidP="00AB4C9D" w:rsidRDefault="00F73E49" w14:paraId="07BA4B7A" w14:textId="77777777">
      <w:pPr>
        <w:jc w:val="both"/>
      </w:pPr>
      <w:r>
        <w:t xml:space="preserve">A key </w:t>
      </w:r>
      <w:r w:rsidRPr="009204CF">
        <w:t xml:space="preserve">assumption is </w:t>
      </w:r>
      <w:r>
        <w:t xml:space="preserve">therefore </w:t>
      </w:r>
      <w:r w:rsidRPr="009204CF">
        <w:t xml:space="preserve">that the data elements contained in each of the CFI, UPI, and </w:t>
      </w:r>
      <w:r>
        <w:t xml:space="preserve">OTC </w:t>
      </w:r>
      <w:r w:rsidRPr="009204CF">
        <w:t>ISIN will remain aligned</w:t>
      </w:r>
      <w:r>
        <w:t xml:space="preserve">. </w:t>
      </w:r>
      <w:r w:rsidRPr="009204CF">
        <w:t xml:space="preserve">The PC will work with the </w:t>
      </w:r>
      <w:r>
        <w:t>ROC</w:t>
      </w:r>
      <w:r w:rsidRPr="009204CF">
        <w:t xml:space="preserve"> to resolve any concerns with respect to alignment of the CFI, UPI and OTC ISIN</w:t>
      </w:r>
      <w:r>
        <w:t xml:space="preserve">. An overview of the expected alignment of each is set out below. </w:t>
      </w:r>
    </w:p>
    <w:p w:rsidR="00F73E49" w:rsidP="00AB4C9D" w:rsidRDefault="00F73E49" w14:paraId="10EE2A9D" w14:textId="77777777">
      <w:pPr>
        <w:jc w:val="both"/>
      </w:pPr>
      <w:r>
        <w:t xml:space="preserve">Note (a) that the CFI and ISIN exist for both OTC derivatives and other types of financial instruments, whilst the UPI applies only to OTC derivatives at this time, and (b) that the OTC ISIN is the most granular of the three standards in terms of the number and type of data elements that describe the identifier. The data elements describing the UPI can be considered to be mid-way between the granularity of the CFI and the OTC ISIN, with the UPI accompanied by CDE for some regulatory reporting purposes. </w:t>
      </w:r>
    </w:p>
    <w:p w:rsidR="00F73E49" w:rsidP="00AB4C9D" w:rsidRDefault="00F73E49" w14:paraId="1BE591B8" w14:textId="77777777">
      <w:pPr>
        <w:jc w:val="both"/>
      </w:pPr>
      <w:r w:rsidRPr="000876F3">
        <w:rPr>
          <w:noProof/>
        </w:rPr>
        <w:drawing>
          <wp:inline distT="0" distB="0" distL="0" distR="0" wp14:anchorId="0037353E" wp14:editId="61024D29">
            <wp:extent cx="5731510" cy="4777104"/>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a:extLst>
                        <a:ext uri="{28A0092B-C50C-407E-A947-70E740481C1C}">
                          <a14:useLocalDpi xmlns:a14="http://schemas.microsoft.com/office/drawing/2010/main" val="0"/>
                        </a:ext>
                      </a:extLst>
                    </a:blip>
                    <a:stretch>
                      <a:fillRect/>
                    </a:stretch>
                  </pic:blipFill>
                  <pic:spPr>
                    <a:xfrm>
                      <a:off x="0" y="0"/>
                      <a:ext cx="5731510" cy="4777104"/>
                    </a:xfrm>
                    <a:prstGeom prst="rect">
                      <a:avLst/>
                    </a:prstGeom>
                  </pic:spPr>
                </pic:pic>
              </a:graphicData>
            </a:graphic>
          </wp:inline>
        </w:drawing>
      </w:r>
    </w:p>
    <w:p w:rsidRPr="00940820" w:rsidR="00F73E49" w:rsidP="00AB4C9D" w:rsidRDefault="00F73E49" w14:paraId="5113FAA9" w14:textId="77777777">
      <w:pPr>
        <w:jc w:val="both"/>
        <w:rPr>
          <w:lang w:val="fr-FR"/>
        </w:rPr>
      </w:pPr>
      <w:r w:rsidRPr="00940820">
        <w:rPr>
          <w:lang w:val="fr-FR"/>
        </w:rPr>
        <w:t>Chart 1: CFI – UPI – OTC ISIN Align</w:t>
      </w:r>
      <w:r>
        <w:rPr>
          <w:lang w:val="fr-FR"/>
        </w:rPr>
        <w:t xml:space="preserve">ement </w:t>
      </w:r>
    </w:p>
    <w:p w:rsidR="00F73E49" w:rsidP="00AB4C9D" w:rsidRDefault="00F73E49" w14:paraId="068415CA" w14:textId="77777777">
      <w:pPr>
        <w:jc w:val="both"/>
      </w:pPr>
      <w:r>
        <w:t xml:space="preserve">It is expected that all OTC derivatives that are reportable to regulators could have one or more of the CFI, UPI and OTC ISIN. </w:t>
      </w:r>
      <w:r w:rsidRPr="00F2181F">
        <w:t>The DSB’s product scope ensures that all traded OTC derivative instruments can have any combination of CFI, UPI and OTC ISINs required by the industry</w:t>
      </w:r>
      <w:r>
        <w:t xml:space="preserve">. </w:t>
      </w:r>
      <w:r w:rsidRPr="00F2181F">
        <w:t>Users will determin</w:t>
      </w:r>
      <w:r>
        <w:t>e</w:t>
      </w:r>
      <w:r w:rsidRPr="00F2181F">
        <w:t xml:space="preserve"> the specific identifiers that are created and therefore available for search and download.</w:t>
      </w:r>
    </w:p>
    <w:p w:rsidR="00F73E49" w:rsidP="00AB4C9D" w:rsidRDefault="00F73E49" w14:paraId="1444AB8B" w14:textId="77777777">
      <w:pPr>
        <w:spacing w:after="240"/>
        <w:jc w:val="both"/>
      </w:pPr>
      <w:r>
        <w:t>More details on the definition of each of the CFI, UPI and OTC ISIN and the relationship between them, including a worked example setting out the differences between each can be found here</w:t>
      </w:r>
      <w:r>
        <w:rPr>
          <w:rStyle w:val="FootnoteReference"/>
        </w:rPr>
        <w:footnoteReference w:id="46"/>
      </w:r>
      <w:r>
        <w:t xml:space="preserve"> and here</w:t>
      </w:r>
      <w:r>
        <w:rPr>
          <w:rStyle w:val="FootnoteReference"/>
        </w:rPr>
        <w:footnoteReference w:id="47"/>
      </w:r>
      <w:r>
        <w:t xml:space="preserve">. </w:t>
      </w:r>
    </w:p>
    <w:p w:rsidR="00F73E49" w:rsidP="00F73E49" w:rsidRDefault="00F73E49" w14:paraId="2975C013" w14:textId="77777777">
      <w:pPr>
        <w:pStyle w:val="Heading3"/>
      </w:pPr>
      <w:bookmarkStart w:name="_Toc60651770" w:id="615"/>
      <w:bookmarkStart w:name="_Toc60651773" w:id="616"/>
      <w:bookmarkStart w:name="_Toc69802015" w:id="617"/>
      <w:bookmarkStart w:name="_Ref71212655" w:id="618"/>
      <w:bookmarkStart w:name="_Toc71369609" w:id="619"/>
      <w:bookmarkEnd w:id="615"/>
      <w:r>
        <w:t>Product definitions for the UPI</w:t>
      </w:r>
      <w:bookmarkEnd w:id="616"/>
      <w:bookmarkEnd w:id="617"/>
      <w:bookmarkEnd w:id="618"/>
      <w:bookmarkEnd w:id="619"/>
      <w:r>
        <w:t xml:space="preserve"> </w:t>
      </w:r>
    </w:p>
    <w:p w:rsidR="00F73E49" w:rsidP="00AB4C9D" w:rsidRDefault="00F73E49" w14:paraId="255664CF" w14:textId="77777777">
      <w:pPr>
        <w:spacing w:after="120"/>
        <w:jc w:val="both"/>
      </w:pPr>
      <w:r>
        <w:t xml:space="preserve">This assumption aims to build on the DSB’s existing practice and provide UPI users with insight into how product definitions are created, reviewed, and finalised by the DSB’s Product Committee (PC). </w:t>
      </w:r>
    </w:p>
    <w:p w:rsidR="00F73E49" w:rsidP="00AB4C9D" w:rsidRDefault="00F73E49" w14:paraId="7E660CBF" w14:textId="77777777">
      <w:pPr>
        <w:spacing w:after="120"/>
        <w:jc w:val="both"/>
      </w:pPr>
      <w:r>
        <w:t xml:space="preserve">The DSB PC comprising a diverse spectrum of industry practitioners and regulators commenced a review of the alignment between the data elements contained in the OTC ISIN and the UPI as set out in the Technical Guidance Document published by CPMI-IOSCO. The aim of the preliminary review was to evaluate the data needs of the UPI and determine to what extent these were already held by the DSB when users were requesting an OTC ISIN and/or CFI code. </w:t>
      </w:r>
    </w:p>
    <w:p w:rsidR="00F73E49" w:rsidP="00AB4C9D" w:rsidRDefault="00F73E49" w14:paraId="2C03FA64" w14:textId="77777777">
      <w:pPr>
        <w:spacing w:after="360"/>
        <w:jc w:val="both"/>
      </w:pPr>
      <w:r>
        <w:t xml:space="preserve">The PC has subsequently been engaged in communications first with the FSB and now the ROC as part of its ongoing UPI related work and will undertake a detailed review of the full suite of UPI product definitions (for both input and derived values) so that implementation aspects can be finalised. The PC is also examining any additional data sources that might be required to ensure global applicability of the identifier such as a sufficiently broad set of indices (across a range of asset classes, etc.).  As with the TAC, any final recommendations will be made to the DSB Board for final review and decision making. </w:t>
      </w:r>
    </w:p>
    <w:p w:rsidR="00F73E49" w:rsidP="00F73E49" w:rsidRDefault="00F73E49" w14:paraId="2FA9A3AC" w14:textId="77777777">
      <w:pPr>
        <w:pStyle w:val="Heading3"/>
      </w:pPr>
      <w:bookmarkStart w:name="_Ref57192934" w:id="620"/>
      <w:bookmarkStart w:name="_Ref57192943" w:id="621"/>
      <w:bookmarkStart w:name="_Toc60651774" w:id="622"/>
      <w:bookmarkStart w:name="_Toc69802016" w:id="623"/>
      <w:bookmarkStart w:name="_Toc71369610" w:id="624"/>
      <w:r>
        <w:t>UPI Creation Estimates</w:t>
      </w:r>
      <w:bookmarkEnd w:id="620"/>
      <w:bookmarkEnd w:id="621"/>
      <w:bookmarkEnd w:id="622"/>
      <w:bookmarkEnd w:id="623"/>
      <w:bookmarkEnd w:id="624"/>
      <w:r>
        <w:t xml:space="preserve"> </w:t>
      </w:r>
    </w:p>
    <w:p w:rsidRPr="003F5F8A" w:rsidR="00F73E49" w:rsidP="00AB4C9D" w:rsidRDefault="00F73E49" w14:paraId="19F8D30E" w14:textId="4213391D">
      <w:pPr>
        <w:jc w:val="both"/>
      </w:pPr>
      <w:r w:rsidRPr="003F5F8A">
        <w:t>This assumption aims to provide users with insight into the estimates of both the initial UPI creation rate, and the</w:t>
      </w:r>
      <w:r w:rsidRPr="009F5C43">
        <w:t xml:space="preserve"> longer-term flow rate</w:t>
      </w:r>
      <w:r w:rsidRPr="00B56B63">
        <w:t xml:space="preserve"> so that readers are able to use these as a basis to provide feedback on the principles set out in section </w:t>
      </w:r>
      <w:r>
        <w:fldChar w:fldCharType="begin"/>
      </w:r>
      <w:r>
        <w:instrText xml:space="preserve"> REF _Ref67040095 \r \h </w:instrText>
      </w:r>
      <w:r>
        <w:fldChar w:fldCharType="separate"/>
      </w:r>
      <w:r w:rsidR="00AB4C9D">
        <w:t>4</w:t>
      </w:r>
      <w:r>
        <w:fldChar w:fldCharType="end"/>
      </w:r>
      <w:r w:rsidRPr="003F5F8A">
        <w:t xml:space="preserve"> of this document.  </w:t>
      </w:r>
    </w:p>
    <w:p w:rsidRPr="00B56B63" w:rsidR="00F73E49" w:rsidP="00AB4C9D" w:rsidRDefault="00F73E49" w14:paraId="79C58431" w14:textId="77777777">
      <w:pPr>
        <w:jc w:val="both"/>
      </w:pPr>
      <w:r w:rsidRPr="009F5C43">
        <w:t>The DSB estimate</w:t>
      </w:r>
      <w:r>
        <w:t>s</w:t>
      </w:r>
      <w:r w:rsidRPr="009F5C43">
        <w:t xml:space="preserve"> the number of UPIs required, as part of a series of inputs to determine the functional and non-functional r</w:t>
      </w:r>
      <w:r w:rsidRPr="00B56B63">
        <w:t xml:space="preserve">equirements of the UPI service. Estimates are based on the minimum criteria set out in the UPI Technical Guidance document referenced earlier, in conjunction with the data elements used to define the OTC ISIN. </w:t>
      </w:r>
    </w:p>
    <w:p w:rsidRPr="009F5C43" w:rsidR="00F73E49" w:rsidP="00AB4C9D" w:rsidRDefault="00F73E49" w14:paraId="296D5047" w14:textId="77777777">
      <w:pPr>
        <w:jc w:val="both"/>
      </w:pPr>
      <w:r w:rsidRPr="00B56B63">
        <w:t xml:space="preserve">DSB estimates are based on an extract that uses the OTC ISIN records held by the DSB, with a sample of 27 products included, representing approximately 88% of the total number of OTC ISINs in the DSB database. The </w:t>
      </w:r>
      <w:r>
        <w:t>product</w:t>
      </w:r>
      <w:r w:rsidRPr="00B56B63">
        <w:t xml:space="preserve"> templates</w:t>
      </w:r>
      <w:r w:rsidRPr="003F5F8A">
        <w:rPr>
          <w:rStyle w:val="FootnoteReference"/>
        </w:rPr>
        <w:footnoteReference w:id="48"/>
      </w:r>
      <w:r w:rsidRPr="003F5F8A">
        <w:t xml:space="preserve"> selected for this process focused on the 25 products with the most </w:t>
      </w:r>
      <w:r>
        <w:t xml:space="preserve">OTC </w:t>
      </w:r>
      <w:r w:rsidRPr="003F5F8A">
        <w:t xml:space="preserve">ISINs however, to demonstrate breadth of coverage, the sample was extended to include at least 4 entries for each asset class. </w:t>
      </w:r>
    </w:p>
    <w:p w:rsidRPr="00B56B63" w:rsidR="00F73E49" w:rsidP="00AB4C9D" w:rsidRDefault="00F73E49" w14:paraId="61AD6CA9" w14:textId="77777777">
      <w:pPr>
        <w:jc w:val="both"/>
      </w:pPr>
      <w:r w:rsidRPr="00B56B63">
        <w:t xml:space="preserve">The data provided in this section should be treated as a general guideline as </w:t>
      </w:r>
      <w:proofErr w:type="spellStart"/>
      <w:r w:rsidRPr="00B56B63">
        <w:t>utilisation</w:t>
      </w:r>
      <w:proofErr w:type="spellEnd"/>
      <w:r w:rsidRPr="00B56B63">
        <w:t xml:space="preserve"> of OTC ISIN on which the estimates below are based is a key but single indicator of UPI creation volumes. Eventual creation of the UPI will be determined by users’ specific regulatory reporting requirements</w:t>
      </w:r>
      <w:r>
        <w:t>, and the precise UPI product templates that are agreed</w:t>
      </w:r>
      <w:r w:rsidRPr="00B56B63">
        <w:t xml:space="preserve">. </w:t>
      </w:r>
    </w:p>
    <w:p w:rsidRPr="00B56B63" w:rsidR="00F73E49" w:rsidP="00AB4C9D" w:rsidRDefault="00F73E49" w14:paraId="552E8A6D" w14:textId="77777777">
      <w:pPr>
        <w:jc w:val="both"/>
      </w:pPr>
      <w:r w:rsidRPr="00B56B63">
        <w:t>The following methodology was used to estimate the possible number of new UPIs each month:</w:t>
      </w:r>
    </w:p>
    <w:p w:rsidRPr="003F5F8A" w:rsidR="00F73E49" w:rsidP="00AB4C9D" w:rsidRDefault="00F73E49" w14:paraId="75815B2D" w14:textId="77777777">
      <w:pPr>
        <w:pStyle w:val="ListParagraph"/>
        <w:numPr>
          <w:ilvl w:val="0"/>
          <w:numId w:val="16"/>
        </w:numPr>
        <w:spacing w:line="276" w:lineRule="auto"/>
        <w:jc w:val="both"/>
      </w:pPr>
      <w:r w:rsidRPr="003F5F8A">
        <w:t>Define an assumed UPI attribute definition for each OTC ISIN template. For example: the FX Swap UPI is made up of Product Name, CFI Code, Notional Currency and Other Notional Currency.</w:t>
      </w:r>
    </w:p>
    <w:p w:rsidRPr="003F5F8A" w:rsidR="00F73E49" w:rsidP="00AB4C9D" w:rsidRDefault="00F73E49" w14:paraId="7E93B68B" w14:textId="77777777">
      <w:pPr>
        <w:pStyle w:val="ListParagraph"/>
        <w:numPr>
          <w:ilvl w:val="0"/>
          <w:numId w:val="16"/>
        </w:numPr>
        <w:spacing w:line="276" w:lineRule="auto"/>
        <w:jc w:val="both"/>
      </w:pPr>
      <w:r w:rsidRPr="003F5F8A">
        <w:t>Find the first creation date of any OTC ISIN with only those attributes. All other occurrences of that combination of attributes are ignored</w:t>
      </w:r>
      <w:r w:rsidRPr="003F5F8A">
        <w:rPr>
          <w:rStyle w:val="FootnoteReference"/>
        </w:rPr>
        <w:footnoteReference w:id="49"/>
      </w:r>
      <w:r w:rsidRPr="003F5F8A">
        <w:t>. All additional OTC ISIN attributes (e.g. Expiry Date, Price Multiplier) are ignored.</w:t>
      </w:r>
    </w:p>
    <w:p w:rsidRPr="003F5F8A" w:rsidR="00F73E49" w:rsidP="00AB4C9D" w:rsidRDefault="00F73E49" w14:paraId="03CEF39A" w14:textId="77777777">
      <w:pPr>
        <w:pStyle w:val="ListParagraph"/>
        <w:numPr>
          <w:ilvl w:val="0"/>
          <w:numId w:val="16"/>
        </w:numPr>
        <w:spacing w:line="276" w:lineRule="auto"/>
        <w:jc w:val="both"/>
      </w:pPr>
      <w:r w:rsidRPr="003F5F8A">
        <w:t>Add each returned record to the total for that template/month.</w:t>
      </w:r>
    </w:p>
    <w:p w:rsidRPr="00B56B63" w:rsidR="00F73E49" w:rsidP="00AB4C9D" w:rsidRDefault="00F73E49" w14:paraId="35640D39" w14:textId="77777777">
      <w:pPr>
        <w:jc w:val="both"/>
      </w:pPr>
      <w:r w:rsidRPr="003F5F8A">
        <w:t>It should be noted that Non-Standard and Basket templates were not included in the sample because the UPI equivalence for these products has yet to be determined – f</w:t>
      </w:r>
      <w:r w:rsidRPr="009F5C43">
        <w:t>or example, OTC ISINs for products with a basket of underliers are based on individual bask</w:t>
      </w:r>
      <w:r w:rsidRPr="00B56B63">
        <w:t xml:space="preserve">et entries, whereas UPIs may be based on a classification of the underlying – which would lead to a significantly reduced population. It is expected that as the specific UPI product definitions of each of these types of products are finalized, the DSB will be better positioned to evaluate the precise impact on UPI creation activities. It is worth noting at this time, such products do not constitute a substantive majority of instrument identifiers. </w:t>
      </w:r>
    </w:p>
    <w:p w:rsidRPr="003F5F8A" w:rsidR="00F73E49" w:rsidP="00AB4C9D" w:rsidRDefault="00F73E49" w14:paraId="5A5C18F9" w14:textId="77777777">
      <w:pPr>
        <w:jc w:val="both"/>
      </w:pPr>
      <w:r w:rsidRPr="00B56B63">
        <w:t xml:space="preserve">The chart below highlights the 12-month rolling average based on the methodology set out above. The date range starts at the point at which OTC ISIN generation commenced and shows the subsequent three-year period. As mentioned above, the OTC ISIN is being used as a working proxy in this instance as the instrument templates currently available to users covers the full range of OTC derivatives CFI codes used by the market. </w:t>
      </w:r>
    </w:p>
    <w:p w:rsidR="00F73E49" w:rsidP="00AB4C9D" w:rsidRDefault="00F73E49" w14:paraId="1A36FD6C" w14:textId="77777777">
      <w:pPr>
        <w:spacing w:after="360"/>
        <w:jc w:val="both"/>
      </w:pPr>
      <w:r w:rsidRPr="000876F3">
        <w:rPr>
          <w:noProof/>
        </w:rPr>
        <w:drawing>
          <wp:inline distT="0" distB="0" distL="0" distR="0" wp14:anchorId="3056FC3B" wp14:editId="14173F99">
            <wp:extent cx="5943600" cy="25266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7847" cy="2528470"/>
                    </a:xfrm>
                    <a:prstGeom prst="rect">
                      <a:avLst/>
                    </a:prstGeom>
                    <a:noFill/>
                    <a:ln>
                      <a:noFill/>
                    </a:ln>
                  </pic:spPr>
                </pic:pic>
              </a:graphicData>
            </a:graphic>
          </wp:inline>
        </w:drawing>
      </w:r>
    </w:p>
    <w:bookmarkEnd w:id="571"/>
    <w:p w:rsidR="00F73E49" w:rsidP="00AB4C9D" w:rsidRDefault="00F73E49" w14:paraId="4AA4E077" w14:textId="77777777">
      <w:pPr>
        <w:jc w:val="both"/>
      </w:pPr>
      <w:r>
        <w:t xml:space="preserve">DSB estimates are based on an extract that uses the OTC ISIN records held by the DSB, with a sample of 27 products included, representing approximately 88% of the total number of OTC ISINs in the DSB database. The templates selected for this process focused on the 25 products with the most OTC ISINs however, to demonstrate breadth of coverage, the sample was extended to include at least 4 entries for each asset class. </w:t>
      </w:r>
    </w:p>
    <w:p w:rsidRPr="00B12BE7" w:rsidR="00F73E49" w:rsidP="00AB4C9D" w:rsidRDefault="00F73E49" w14:paraId="324412F8" w14:textId="77777777">
      <w:pPr>
        <w:jc w:val="both"/>
      </w:pPr>
      <w:r>
        <w:t xml:space="preserve">The data provided in this section should be treated as a general guideline as </w:t>
      </w:r>
      <w:proofErr w:type="spellStart"/>
      <w:r>
        <w:t>utilisation</w:t>
      </w:r>
      <w:proofErr w:type="spellEnd"/>
      <w:r>
        <w:t xml:space="preserve"> of OTC ISIN on which the estimates below are based is a key but single indicator of UPI creation volumes. Eventual creation of the UPI will be determined by users’ specific regulatory reporting requirements, and as such not all OTC ISINs may result in an equivalent UPI being created, and similarly not all UPIs may result in the creation of an associated OTC ISIN. Estimates in this section are for the period from 2 Oct 2017 (when the OTC ISIN service was launched) up to and including 30 September 2020. </w:t>
      </w:r>
    </w:p>
    <w:tbl>
      <w:tblPr>
        <w:tblW w:w="9209" w:type="dxa"/>
        <w:tblBorders>
          <w:top w:val="single" w:color="30AEB9" w:sz="4" w:space="0"/>
          <w:left w:val="single" w:color="30AEB9" w:sz="4" w:space="0"/>
          <w:bottom w:val="single" w:color="30AEB9" w:sz="4" w:space="0"/>
          <w:right w:val="single" w:color="30AEB9" w:sz="4" w:space="0"/>
          <w:insideH w:val="single" w:color="30AEB9" w:sz="4" w:space="0"/>
          <w:insideV w:val="single" w:color="30AEB9" w:sz="4" w:space="0"/>
        </w:tblBorders>
        <w:tblLook w:val="04A0" w:firstRow="1" w:lastRow="0" w:firstColumn="1" w:lastColumn="0" w:noHBand="0" w:noVBand="1"/>
      </w:tblPr>
      <w:tblGrid>
        <w:gridCol w:w="5380"/>
        <w:gridCol w:w="1131"/>
        <w:gridCol w:w="1422"/>
        <w:gridCol w:w="1276"/>
      </w:tblGrid>
      <w:tr w:rsidRPr="005051F2" w:rsidR="00F73E49" w:rsidTr="005D5CA5" w14:paraId="54B721B1" w14:textId="77777777">
        <w:trPr>
          <w:trHeight w:val="340"/>
          <w:tblHeader/>
        </w:trPr>
        <w:tc>
          <w:tcPr>
            <w:tcW w:w="5380" w:type="dxa"/>
            <w:shd w:val="clear" w:color="000000" w:fill="30AEB9"/>
            <w:noWrap/>
            <w:vAlign w:val="center"/>
            <w:hideMark/>
          </w:tcPr>
          <w:p w:rsidRPr="005051F2" w:rsidR="00F73E49" w:rsidP="00AB4C9D" w:rsidRDefault="00F73E49" w14:paraId="7898707C" w14:textId="77777777">
            <w:pPr>
              <w:spacing w:after="0"/>
              <w:rPr>
                <w:rFonts w:ascii="Calibri" w:hAnsi="Calibri" w:eastAsia="Times New Roman" w:cs="Calibri"/>
                <w:b/>
                <w:bCs/>
                <w:color w:val="FFFFFF"/>
                <w:sz w:val="20"/>
                <w:szCs w:val="20"/>
                <w:lang w:eastAsia="en-GB"/>
              </w:rPr>
            </w:pPr>
            <w:r w:rsidRPr="005051F2">
              <w:rPr>
                <w:rFonts w:ascii="Calibri" w:hAnsi="Calibri" w:eastAsia="Times New Roman" w:cs="Calibri"/>
                <w:b/>
                <w:bCs/>
                <w:color w:val="FFFFFF"/>
                <w:sz w:val="20"/>
                <w:szCs w:val="20"/>
                <w:lang w:eastAsia="en-GB"/>
              </w:rPr>
              <w:t>Instrument</w:t>
            </w:r>
          </w:p>
        </w:tc>
        <w:tc>
          <w:tcPr>
            <w:tcW w:w="1131" w:type="dxa"/>
            <w:shd w:val="clear" w:color="000000" w:fill="30AEB9"/>
            <w:noWrap/>
            <w:vAlign w:val="center"/>
            <w:hideMark/>
          </w:tcPr>
          <w:p w:rsidRPr="005051F2" w:rsidR="00F73E49" w:rsidP="00AB4C9D" w:rsidRDefault="00F73E49" w14:paraId="0B202E53" w14:textId="77777777">
            <w:pPr>
              <w:spacing w:after="0"/>
              <w:jc w:val="center"/>
              <w:rPr>
                <w:rFonts w:ascii="Calibri" w:hAnsi="Calibri" w:eastAsia="Times New Roman" w:cs="Calibri"/>
                <w:b/>
                <w:bCs/>
                <w:color w:val="FFFFFF"/>
                <w:sz w:val="20"/>
                <w:szCs w:val="20"/>
                <w:lang w:eastAsia="en-GB"/>
              </w:rPr>
            </w:pPr>
            <w:r>
              <w:rPr>
                <w:rFonts w:ascii="Calibri" w:hAnsi="Calibri" w:eastAsia="Times New Roman" w:cs="Calibri"/>
                <w:b/>
                <w:bCs/>
                <w:color w:val="FFFFFF"/>
                <w:sz w:val="20"/>
                <w:szCs w:val="20"/>
                <w:lang w:eastAsia="en-GB"/>
              </w:rPr>
              <w:t xml:space="preserve">OTC </w:t>
            </w:r>
            <w:r w:rsidRPr="005051F2">
              <w:rPr>
                <w:rFonts w:ascii="Calibri" w:hAnsi="Calibri" w:eastAsia="Times New Roman" w:cs="Calibri"/>
                <w:b/>
                <w:bCs/>
                <w:color w:val="FFFFFF"/>
                <w:sz w:val="20"/>
                <w:szCs w:val="20"/>
                <w:lang w:eastAsia="en-GB"/>
              </w:rPr>
              <w:t>ISINs</w:t>
            </w:r>
            <w:r>
              <w:rPr>
                <w:rFonts w:ascii="Calibri" w:hAnsi="Calibri" w:eastAsia="Times New Roman" w:cs="Calibri"/>
                <w:b/>
                <w:bCs/>
                <w:color w:val="FFFFFF"/>
                <w:sz w:val="20"/>
                <w:szCs w:val="20"/>
                <w:lang w:eastAsia="en-GB"/>
              </w:rPr>
              <w:t xml:space="preserve"> Created</w:t>
            </w:r>
          </w:p>
        </w:tc>
        <w:tc>
          <w:tcPr>
            <w:tcW w:w="1422" w:type="dxa"/>
            <w:shd w:val="clear" w:color="000000" w:fill="30AEB9"/>
            <w:noWrap/>
            <w:vAlign w:val="center"/>
            <w:hideMark/>
          </w:tcPr>
          <w:p w:rsidRPr="005051F2" w:rsidR="00F73E49" w:rsidP="00AB4C9D" w:rsidRDefault="00F73E49" w14:paraId="6C9DE191" w14:textId="77777777">
            <w:pPr>
              <w:spacing w:after="0"/>
              <w:jc w:val="center"/>
              <w:rPr>
                <w:rFonts w:ascii="Calibri" w:hAnsi="Calibri" w:eastAsia="Times New Roman" w:cs="Calibri"/>
                <w:b/>
                <w:bCs/>
                <w:color w:val="FFFFFF"/>
                <w:sz w:val="20"/>
                <w:szCs w:val="20"/>
                <w:lang w:eastAsia="en-GB"/>
              </w:rPr>
            </w:pPr>
            <w:r>
              <w:rPr>
                <w:rFonts w:ascii="Calibri" w:hAnsi="Calibri" w:eastAsia="Times New Roman" w:cs="Calibri"/>
                <w:b/>
                <w:bCs/>
                <w:color w:val="FFFFFF"/>
                <w:sz w:val="20"/>
                <w:szCs w:val="20"/>
                <w:lang w:eastAsia="en-GB"/>
              </w:rPr>
              <w:t xml:space="preserve">Estimated </w:t>
            </w:r>
            <w:r w:rsidRPr="005051F2">
              <w:rPr>
                <w:rFonts w:ascii="Calibri" w:hAnsi="Calibri" w:eastAsia="Times New Roman" w:cs="Calibri"/>
                <w:b/>
                <w:bCs/>
                <w:color w:val="FFFFFF"/>
                <w:sz w:val="20"/>
                <w:szCs w:val="20"/>
                <w:lang w:eastAsia="en-GB"/>
              </w:rPr>
              <w:t>UPI</w:t>
            </w:r>
            <w:r>
              <w:rPr>
                <w:rFonts w:ascii="Calibri" w:hAnsi="Calibri" w:eastAsia="Times New Roman" w:cs="Calibri"/>
                <w:b/>
                <w:bCs/>
                <w:color w:val="FFFFFF"/>
                <w:sz w:val="20"/>
                <w:szCs w:val="20"/>
                <w:lang w:eastAsia="en-GB"/>
              </w:rPr>
              <w:t>s Created</w:t>
            </w:r>
          </w:p>
        </w:tc>
        <w:tc>
          <w:tcPr>
            <w:tcW w:w="1276" w:type="dxa"/>
            <w:shd w:val="clear" w:color="000000" w:fill="30AEB9"/>
            <w:noWrap/>
            <w:vAlign w:val="center"/>
            <w:hideMark/>
          </w:tcPr>
          <w:p w:rsidRPr="005051F2" w:rsidR="00F73E49" w:rsidP="00AB4C9D" w:rsidRDefault="00F73E49" w14:paraId="7FE37973" w14:textId="77777777">
            <w:pPr>
              <w:spacing w:after="0"/>
              <w:ind w:hanging="83"/>
              <w:jc w:val="center"/>
              <w:rPr>
                <w:rFonts w:ascii="Calibri" w:hAnsi="Calibri" w:eastAsia="Times New Roman" w:cs="Calibri"/>
                <w:b/>
                <w:bCs/>
                <w:color w:val="FFFFFF"/>
                <w:sz w:val="20"/>
                <w:szCs w:val="20"/>
                <w:lang w:eastAsia="en-GB"/>
              </w:rPr>
            </w:pPr>
            <w:r>
              <w:rPr>
                <w:rFonts w:ascii="Calibri" w:hAnsi="Calibri" w:eastAsia="Times New Roman" w:cs="Calibri"/>
                <w:b/>
                <w:bCs/>
                <w:color w:val="FFFFFF"/>
                <w:sz w:val="20"/>
                <w:szCs w:val="20"/>
                <w:lang w:eastAsia="en-GB"/>
              </w:rPr>
              <w:t xml:space="preserve">UPI as </w:t>
            </w:r>
            <w:r w:rsidRPr="005051F2">
              <w:rPr>
                <w:rFonts w:ascii="Calibri" w:hAnsi="Calibri" w:eastAsia="Times New Roman" w:cs="Calibri"/>
                <w:b/>
                <w:bCs/>
                <w:color w:val="FFFFFF"/>
                <w:sz w:val="20"/>
                <w:szCs w:val="20"/>
                <w:lang w:eastAsia="en-GB"/>
              </w:rPr>
              <w:t>% of OTC ISIN</w:t>
            </w:r>
          </w:p>
        </w:tc>
      </w:tr>
      <w:tr w:rsidRPr="005051F2" w:rsidR="00F73E49" w:rsidTr="005D5CA5" w14:paraId="2AFECF20" w14:textId="77777777">
        <w:trPr>
          <w:trHeight w:val="340"/>
        </w:trPr>
        <w:tc>
          <w:tcPr>
            <w:tcW w:w="9209" w:type="dxa"/>
            <w:gridSpan w:val="4"/>
            <w:shd w:val="clear" w:color="000000" w:fill="A9E4E9"/>
            <w:noWrap/>
            <w:vAlign w:val="center"/>
            <w:hideMark/>
          </w:tcPr>
          <w:p w:rsidRPr="005051F2" w:rsidR="00F73E49" w:rsidP="00AB4C9D" w:rsidRDefault="00F73E49" w14:paraId="10947951" w14:textId="77777777">
            <w:pPr>
              <w:spacing w:after="0"/>
              <w:rPr>
                <w:rFonts w:ascii="Calibri" w:hAnsi="Calibri" w:eastAsia="Times New Roman" w:cs="Calibri"/>
                <w:b/>
                <w:bCs/>
                <w:sz w:val="20"/>
                <w:szCs w:val="20"/>
                <w:lang w:eastAsia="en-GB"/>
              </w:rPr>
            </w:pPr>
            <w:r w:rsidRPr="005051F2">
              <w:rPr>
                <w:rFonts w:ascii="Calibri" w:hAnsi="Calibri" w:eastAsia="Times New Roman" w:cs="Calibri"/>
                <w:b/>
                <w:bCs/>
                <w:sz w:val="20"/>
                <w:szCs w:val="20"/>
                <w:lang w:eastAsia="en-GB"/>
              </w:rPr>
              <w:t>Commodities</w:t>
            </w:r>
          </w:p>
        </w:tc>
      </w:tr>
      <w:tr w:rsidRPr="005051F2" w:rsidR="00F73E49" w:rsidTr="005D5CA5" w14:paraId="302B9AD7" w14:textId="77777777">
        <w:trPr>
          <w:trHeight w:val="340"/>
        </w:trPr>
        <w:tc>
          <w:tcPr>
            <w:tcW w:w="5380" w:type="dxa"/>
            <w:shd w:val="clear" w:color="auto" w:fill="auto"/>
            <w:noWrap/>
            <w:vAlign w:val="center"/>
            <w:hideMark/>
          </w:tcPr>
          <w:p w:rsidRPr="005051F2" w:rsidR="00F73E49" w:rsidP="00AB4C9D" w:rsidRDefault="00F73E49" w14:paraId="0C5CC908"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Commodities.Forward.Forward</w:t>
            </w:r>
            <w:proofErr w:type="spellEnd"/>
          </w:p>
        </w:tc>
        <w:tc>
          <w:tcPr>
            <w:tcW w:w="1131" w:type="dxa"/>
            <w:shd w:val="clear" w:color="auto" w:fill="auto"/>
            <w:noWrap/>
            <w:vAlign w:val="center"/>
            <w:hideMark/>
          </w:tcPr>
          <w:p w:rsidRPr="005051F2" w:rsidR="00F73E49" w:rsidP="00AB4C9D" w:rsidRDefault="00F73E49" w14:paraId="5E98F98B"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217,492</w:t>
            </w:r>
          </w:p>
        </w:tc>
        <w:tc>
          <w:tcPr>
            <w:tcW w:w="1422" w:type="dxa"/>
            <w:shd w:val="clear" w:color="auto" w:fill="auto"/>
            <w:noWrap/>
            <w:vAlign w:val="center"/>
            <w:hideMark/>
          </w:tcPr>
          <w:p w:rsidRPr="005051F2" w:rsidR="00F73E49" w:rsidP="00AB4C9D" w:rsidRDefault="00F73E49" w14:paraId="2DAA27D5"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642</w:t>
            </w:r>
          </w:p>
        </w:tc>
        <w:tc>
          <w:tcPr>
            <w:tcW w:w="1276" w:type="dxa"/>
            <w:shd w:val="clear" w:color="auto" w:fill="auto"/>
            <w:noWrap/>
            <w:vAlign w:val="center"/>
            <w:hideMark/>
          </w:tcPr>
          <w:p w:rsidRPr="005051F2" w:rsidR="00F73E49" w:rsidP="00AB4C9D" w:rsidRDefault="00F73E49" w14:paraId="73C6E427"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0.30%</w:t>
            </w:r>
          </w:p>
        </w:tc>
      </w:tr>
      <w:tr w:rsidRPr="005051F2" w:rsidR="00F73E49" w:rsidTr="005D5CA5" w14:paraId="2919FC38" w14:textId="77777777">
        <w:trPr>
          <w:trHeight w:val="340"/>
        </w:trPr>
        <w:tc>
          <w:tcPr>
            <w:tcW w:w="5380" w:type="dxa"/>
            <w:shd w:val="clear" w:color="auto" w:fill="auto"/>
            <w:noWrap/>
            <w:vAlign w:val="center"/>
            <w:hideMark/>
          </w:tcPr>
          <w:p w:rsidRPr="005051F2" w:rsidR="00F73E49" w:rsidP="00AB4C9D" w:rsidRDefault="00F73E49" w14:paraId="13DFE886"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Commodities.Option.Option</w:t>
            </w:r>
            <w:proofErr w:type="spellEnd"/>
          </w:p>
        </w:tc>
        <w:tc>
          <w:tcPr>
            <w:tcW w:w="1131" w:type="dxa"/>
            <w:shd w:val="clear" w:color="auto" w:fill="auto"/>
            <w:noWrap/>
            <w:vAlign w:val="center"/>
            <w:hideMark/>
          </w:tcPr>
          <w:p w:rsidRPr="005051F2" w:rsidR="00F73E49" w:rsidP="00AB4C9D" w:rsidRDefault="00F73E49" w14:paraId="0FE81BEC"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68,284</w:t>
            </w:r>
          </w:p>
        </w:tc>
        <w:tc>
          <w:tcPr>
            <w:tcW w:w="1422" w:type="dxa"/>
            <w:shd w:val="clear" w:color="auto" w:fill="auto"/>
            <w:noWrap/>
            <w:vAlign w:val="center"/>
            <w:hideMark/>
          </w:tcPr>
          <w:p w:rsidRPr="005051F2" w:rsidR="00F73E49" w:rsidP="00AB4C9D" w:rsidRDefault="00F73E49" w14:paraId="5683EBE6"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1,534</w:t>
            </w:r>
          </w:p>
        </w:tc>
        <w:tc>
          <w:tcPr>
            <w:tcW w:w="1276" w:type="dxa"/>
            <w:shd w:val="clear" w:color="auto" w:fill="auto"/>
            <w:noWrap/>
            <w:vAlign w:val="center"/>
            <w:hideMark/>
          </w:tcPr>
          <w:p w:rsidRPr="005051F2" w:rsidR="00F73E49" w:rsidP="00AB4C9D" w:rsidRDefault="00F73E49" w14:paraId="1DFDB51E"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2.25%</w:t>
            </w:r>
          </w:p>
        </w:tc>
      </w:tr>
      <w:tr w:rsidRPr="005051F2" w:rsidR="00F73E49" w:rsidTr="005D5CA5" w14:paraId="237F9BD7" w14:textId="77777777">
        <w:trPr>
          <w:trHeight w:val="340"/>
        </w:trPr>
        <w:tc>
          <w:tcPr>
            <w:tcW w:w="5380" w:type="dxa"/>
            <w:shd w:val="clear" w:color="auto" w:fill="auto"/>
            <w:noWrap/>
            <w:vAlign w:val="center"/>
            <w:hideMark/>
          </w:tcPr>
          <w:p w:rsidRPr="005051F2" w:rsidR="00F73E49" w:rsidP="00AB4C9D" w:rsidRDefault="00F73E49" w14:paraId="64EDAC49"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Commodities.Swap.Swap</w:t>
            </w:r>
            <w:proofErr w:type="spellEnd"/>
          </w:p>
        </w:tc>
        <w:tc>
          <w:tcPr>
            <w:tcW w:w="1131" w:type="dxa"/>
            <w:shd w:val="clear" w:color="auto" w:fill="auto"/>
            <w:noWrap/>
            <w:vAlign w:val="center"/>
            <w:hideMark/>
          </w:tcPr>
          <w:p w:rsidRPr="005051F2" w:rsidR="00F73E49" w:rsidP="00AB4C9D" w:rsidRDefault="00F73E49" w14:paraId="0CF7525A"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96,292</w:t>
            </w:r>
          </w:p>
        </w:tc>
        <w:tc>
          <w:tcPr>
            <w:tcW w:w="1422" w:type="dxa"/>
            <w:shd w:val="clear" w:color="auto" w:fill="auto"/>
            <w:noWrap/>
            <w:vAlign w:val="center"/>
            <w:hideMark/>
          </w:tcPr>
          <w:p w:rsidRPr="005051F2" w:rsidR="00F73E49" w:rsidP="00AB4C9D" w:rsidRDefault="00F73E49" w14:paraId="071EF468"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1,135</w:t>
            </w:r>
          </w:p>
        </w:tc>
        <w:tc>
          <w:tcPr>
            <w:tcW w:w="1276" w:type="dxa"/>
            <w:shd w:val="clear" w:color="auto" w:fill="auto"/>
            <w:noWrap/>
            <w:vAlign w:val="center"/>
            <w:hideMark/>
          </w:tcPr>
          <w:p w:rsidRPr="005051F2" w:rsidR="00F73E49" w:rsidP="00AB4C9D" w:rsidRDefault="00F73E49" w14:paraId="4992E59D"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1.18%</w:t>
            </w:r>
          </w:p>
        </w:tc>
      </w:tr>
      <w:tr w:rsidRPr="005051F2" w:rsidR="00F73E49" w:rsidTr="005D5CA5" w14:paraId="698417B7" w14:textId="77777777">
        <w:trPr>
          <w:trHeight w:val="340"/>
        </w:trPr>
        <w:tc>
          <w:tcPr>
            <w:tcW w:w="5380" w:type="dxa"/>
            <w:shd w:val="clear" w:color="auto" w:fill="auto"/>
            <w:noWrap/>
            <w:vAlign w:val="center"/>
            <w:hideMark/>
          </w:tcPr>
          <w:p w:rsidRPr="005051F2" w:rsidR="00F73E49" w:rsidP="00AB4C9D" w:rsidRDefault="00F73E49" w14:paraId="718A5ED8"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Commodities.Multi_Exotic_Swap.Swap</w:t>
            </w:r>
            <w:proofErr w:type="spellEnd"/>
          </w:p>
        </w:tc>
        <w:tc>
          <w:tcPr>
            <w:tcW w:w="1131" w:type="dxa"/>
            <w:shd w:val="clear" w:color="auto" w:fill="auto"/>
            <w:noWrap/>
            <w:vAlign w:val="center"/>
            <w:hideMark/>
          </w:tcPr>
          <w:p w:rsidRPr="005051F2" w:rsidR="00F73E49" w:rsidP="00AB4C9D" w:rsidRDefault="00F73E49" w14:paraId="64657935"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20,584</w:t>
            </w:r>
          </w:p>
        </w:tc>
        <w:tc>
          <w:tcPr>
            <w:tcW w:w="1422" w:type="dxa"/>
            <w:shd w:val="clear" w:color="auto" w:fill="auto"/>
            <w:noWrap/>
            <w:vAlign w:val="center"/>
            <w:hideMark/>
          </w:tcPr>
          <w:p w:rsidRPr="005051F2" w:rsidR="00F73E49" w:rsidP="00AB4C9D" w:rsidRDefault="00F73E49" w14:paraId="23E7C018"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690</w:t>
            </w:r>
          </w:p>
        </w:tc>
        <w:tc>
          <w:tcPr>
            <w:tcW w:w="1276" w:type="dxa"/>
            <w:shd w:val="clear" w:color="auto" w:fill="auto"/>
            <w:noWrap/>
            <w:vAlign w:val="center"/>
            <w:hideMark/>
          </w:tcPr>
          <w:p w:rsidRPr="005051F2" w:rsidR="00F73E49" w:rsidP="00AB4C9D" w:rsidRDefault="00F73E49" w14:paraId="0CC12A65"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3.35%</w:t>
            </w:r>
          </w:p>
        </w:tc>
      </w:tr>
      <w:tr w:rsidRPr="005051F2" w:rsidR="00F73E49" w:rsidTr="005D5CA5" w14:paraId="7DD1CA4A" w14:textId="77777777">
        <w:trPr>
          <w:trHeight w:val="340"/>
        </w:trPr>
        <w:tc>
          <w:tcPr>
            <w:tcW w:w="9209" w:type="dxa"/>
            <w:gridSpan w:val="4"/>
            <w:shd w:val="clear" w:color="000000" w:fill="A9E4E9"/>
            <w:noWrap/>
            <w:vAlign w:val="center"/>
            <w:hideMark/>
          </w:tcPr>
          <w:p w:rsidRPr="005051F2" w:rsidR="00F73E49" w:rsidP="00AB4C9D" w:rsidRDefault="00F73E49" w14:paraId="0B8EBC13" w14:textId="77777777">
            <w:pPr>
              <w:spacing w:after="0"/>
              <w:rPr>
                <w:rFonts w:ascii="Calibri" w:hAnsi="Calibri" w:eastAsia="Times New Roman" w:cs="Calibri"/>
                <w:b/>
                <w:bCs/>
                <w:sz w:val="20"/>
                <w:szCs w:val="20"/>
                <w:lang w:eastAsia="en-GB"/>
              </w:rPr>
            </w:pPr>
            <w:r w:rsidRPr="005051F2">
              <w:rPr>
                <w:rFonts w:ascii="Calibri" w:hAnsi="Calibri" w:eastAsia="Times New Roman" w:cs="Calibri"/>
                <w:b/>
                <w:bCs/>
                <w:sz w:val="20"/>
                <w:szCs w:val="20"/>
                <w:lang w:eastAsia="en-GB"/>
              </w:rPr>
              <w:t>Credit</w:t>
            </w:r>
          </w:p>
        </w:tc>
      </w:tr>
      <w:tr w:rsidRPr="005051F2" w:rsidR="00F73E49" w:rsidTr="005D5CA5" w14:paraId="703C6AB0" w14:textId="77777777">
        <w:trPr>
          <w:trHeight w:val="340"/>
        </w:trPr>
        <w:tc>
          <w:tcPr>
            <w:tcW w:w="5380" w:type="dxa"/>
            <w:shd w:val="clear" w:color="auto" w:fill="auto"/>
            <w:noWrap/>
            <w:vAlign w:val="center"/>
            <w:hideMark/>
          </w:tcPr>
          <w:p w:rsidRPr="005051F2" w:rsidR="00F73E49" w:rsidP="00AB4C9D" w:rsidRDefault="00F73E49" w14:paraId="744A6B38"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Credit.Corporate.Swap</w:t>
            </w:r>
            <w:proofErr w:type="spellEnd"/>
          </w:p>
        </w:tc>
        <w:tc>
          <w:tcPr>
            <w:tcW w:w="1131" w:type="dxa"/>
            <w:shd w:val="clear" w:color="auto" w:fill="auto"/>
            <w:noWrap/>
            <w:vAlign w:val="center"/>
            <w:hideMark/>
          </w:tcPr>
          <w:p w:rsidRPr="005051F2" w:rsidR="00F73E49" w:rsidP="00AB4C9D" w:rsidRDefault="00F73E49" w14:paraId="66004ABD"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417,592</w:t>
            </w:r>
          </w:p>
        </w:tc>
        <w:tc>
          <w:tcPr>
            <w:tcW w:w="1422" w:type="dxa"/>
            <w:shd w:val="clear" w:color="auto" w:fill="auto"/>
            <w:noWrap/>
            <w:vAlign w:val="center"/>
            <w:hideMark/>
          </w:tcPr>
          <w:p w:rsidRPr="005051F2" w:rsidR="00F73E49" w:rsidP="00AB4C9D" w:rsidRDefault="00F73E49" w14:paraId="34401731"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17,089</w:t>
            </w:r>
          </w:p>
        </w:tc>
        <w:tc>
          <w:tcPr>
            <w:tcW w:w="1276" w:type="dxa"/>
            <w:shd w:val="clear" w:color="auto" w:fill="auto"/>
            <w:noWrap/>
            <w:vAlign w:val="center"/>
            <w:hideMark/>
          </w:tcPr>
          <w:p w:rsidRPr="005051F2" w:rsidR="00F73E49" w:rsidP="00AB4C9D" w:rsidRDefault="00F73E49" w14:paraId="19C6872C"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4.09%</w:t>
            </w:r>
          </w:p>
        </w:tc>
      </w:tr>
      <w:tr w:rsidRPr="005051F2" w:rsidR="00F73E49" w:rsidTr="005D5CA5" w14:paraId="2AC53910" w14:textId="77777777">
        <w:trPr>
          <w:trHeight w:val="340"/>
        </w:trPr>
        <w:tc>
          <w:tcPr>
            <w:tcW w:w="5380" w:type="dxa"/>
            <w:shd w:val="clear" w:color="auto" w:fill="auto"/>
            <w:noWrap/>
            <w:vAlign w:val="center"/>
            <w:hideMark/>
          </w:tcPr>
          <w:p w:rsidRPr="005051F2" w:rsidR="00F73E49" w:rsidP="00AB4C9D" w:rsidRDefault="00F73E49" w14:paraId="58D5DB9F"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Credit.Index.Swap</w:t>
            </w:r>
            <w:proofErr w:type="spellEnd"/>
          </w:p>
        </w:tc>
        <w:tc>
          <w:tcPr>
            <w:tcW w:w="1131" w:type="dxa"/>
            <w:shd w:val="clear" w:color="auto" w:fill="auto"/>
            <w:noWrap/>
            <w:vAlign w:val="center"/>
            <w:hideMark/>
          </w:tcPr>
          <w:p w:rsidRPr="005051F2" w:rsidR="00F73E49" w:rsidP="00AB4C9D" w:rsidRDefault="00F73E49" w14:paraId="1F573C01"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31,821</w:t>
            </w:r>
          </w:p>
        </w:tc>
        <w:tc>
          <w:tcPr>
            <w:tcW w:w="1422" w:type="dxa"/>
            <w:shd w:val="clear" w:color="auto" w:fill="auto"/>
            <w:noWrap/>
            <w:vAlign w:val="center"/>
            <w:hideMark/>
          </w:tcPr>
          <w:p w:rsidRPr="005051F2" w:rsidR="00F73E49" w:rsidP="00AB4C9D" w:rsidRDefault="00F73E49" w14:paraId="70A5B2A6"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11,168</w:t>
            </w:r>
          </w:p>
        </w:tc>
        <w:tc>
          <w:tcPr>
            <w:tcW w:w="1276" w:type="dxa"/>
            <w:shd w:val="clear" w:color="auto" w:fill="auto"/>
            <w:noWrap/>
            <w:vAlign w:val="center"/>
            <w:hideMark/>
          </w:tcPr>
          <w:p w:rsidRPr="005051F2" w:rsidR="00F73E49" w:rsidP="00AB4C9D" w:rsidRDefault="00F73E49" w14:paraId="1FC384AA"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35.10%</w:t>
            </w:r>
          </w:p>
        </w:tc>
      </w:tr>
      <w:tr w:rsidRPr="005051F2" w:rsidR="00F73E49" w:rsidTr="005D5CA5" w14:paraId="6A594FD7" w14:textId="77777777">
        <w:trPr>
          <w:trHeight w:val="340"/>
        </w:trPr>
        <w:tc>
          <w:tcPr>
            <w:tcW w:w="5380" w:type="dxa"/>
            <w:shd w:val="clear" w:color="auto" w:fill="auto"/>
            <w:noWrap/>
            <w:vAlign w:val="center"/>
            <w:hideMark/>
          </w:tcPr>
          <w:p w:rsidRPr="005051F2" w:rsidR="00F73E49" w:rsidP="00AB4C9D" w:rsidRDefault="00F73E49" w14:paraId="6B2AE357"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Credit.Sovereign.Swap</w:t>
            </w:r>
            <w:proofErr w:type="spellEnd"/>
          </w:p>
        </w:tc>
        <w:tc>
          <w:tcPr>
            <w:tcW w:w="1131" w:type="dxa"/>
            <w:shd w:val="clear" w:color="auto" w:fill="auto"/>
            <w:noWrap/>
            <w:vAlign w:val="center"/>
            <w:hideMark/>
          </w:tcPr>
          <w:p w:rsidRPr="005051F2" w:rsidR="00F73E49" w:rsidP="00AB4C9D" w:rsidRDefault="00F73E49" w14:paraId="67607A36"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32,098</w:t>
            </w:r>
          </w:p>
        </w:tc>
        <w:tc>
          <w:tcPr>
            <w:tcW w:w="1422" w:type="dxa"/>
            <w:shd w:val="clear" w:color="auto" w:fill="auto"/>
            <w:noWrap/>
            <w:vAlign w:val="center"/>
            <w:hideMark/>
          </w:tcPr>
          <w:p w:rsidRPr="005051F2" w:rsidR="00F73E49" w:rsidP="00AB4C9D" w:rsidRDefault="00F73E49" w14:paraId="7B3D6253"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1,689</w:t>
            </w:r>
          </w:p>
        </w:tc>
        <w:tc>
          <w:tcPr>
            <w:tcW w:w="1276" w:type="dxa"/>
            <w:shd w:val="clear" w:color="auto" w:fill="auto"/>
            <w:noWrap/>
            <w:vAlign w:val="center"/>
            <w:hideMark/>
          </w:tcPr>
          <w:p w:rsidRPr="005051F2" w:rsidR="00F73E49" w:rsidP="00AB4C9D" w:rsidRDefault="00F73E49" w14:paraId="7CF1FBE4"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5.26%</w:t>
            </w:r>
          </w:p>
        </w:tc>
      </w:tr>
      <w:tr w:rsidRPr="005051F2" w:rsidR="00F73E49" w:rsidTr="005D5CA5" w14:paraId="167C4E70" w14:textId="77777777">
        <w:trPr>
          <w:trHeight w:val="340"/>
        </w:trPr>
        <w:tc>
          <w:tcPr>
            <w:tcW w:w="5380" w:type="dxa"/>
            <w:shd w:val="clear" w:color="auto" w:fill="auto"/>
            <w:noWrap/>
            <w:vAlign w:val="center"/>
            <w:hideMark/>
          </w:tcPr>
          <w:p w:rsidRPr="005051F2" w:rsidR="00F73E49" w:rsidP="00AB4C9D" w:rsidRDefault="00F73E49" w14:paraId="7F58C83D"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Credit.Total_Return_Swap.Swap</w:t>
            </w:r>
            <w:proofErr w:type="spellEnd"/>
          </w:p>
        </w:tc>
        <w:tc>
          <w:tcPr>
            <w:tcW w:w="1131" w:type="dxa"/>
            <w:shd w:val="clear" w:color="auto" w:fill="auto"/>
            <w:noWrap/>
            <w:vAlign w:val="center"/>
            <w:hideMark/>
          </w:tcPr>
          <w:p w:rsidRPr="005051F2" w:rsidR="00F73E49" w:rsidP="00AB4C9D" w:rsidRDefault="00F73E49" w14:paraId="0C06C3E6"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21,278</w:t>
            </w:r>
          </w:p>
        </w:tc>
        <w:tc>
          <w:tcPr>
            <w:tcW w:w="1422" w:type="dxa"/>
            <w:shd w:val="clear" w:color="auto" w:fill="auto"/>
            <w:noWrap/>
            <w:vAlign w:val="center"/>
            <w:hideMark/>
          </w:tcPr>
          <w:p w:rsidRPr="005051F2" w:rsidR="00F73E49" w:rsidP="00AB4C9D" w:rsidRDefault="00F73E49" w14:paraId="7A960C38"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5,126</w:t>
            </w:r>
          </w:p>
        </w:tc>
        <w:tc>
          <w:tcPr>
            <w:tcW w:w="1276" w:type="dxa"/>
            <w:shd w:val="clear" w:color="auto" w:fill="auto"/>
            <w:noWrap/>
            <w:vAlign w:val="center"/>
            <w:hideMark/>
          </w:tcPr>
          <w:p w:rsidRPr="005051F2" w:rsidR="00F73E49" w:rsidP="00AB4C9D" w:rsidRDefault="00F73E49" w14:paraId="695FACFD"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24.09%</w:t>
            </w:r>
          </w:p>
        </w:tc>
      </w:tr>
      <w:tr w:rsidRPr="005051F2" w:rsidR="00F73E49" w:rsidTr="005D5CA5" w14:paraId="769C6D31" w14:textId="77777777">
        <w:trPr>
          <w:trHeight w:val="340"/>
        </w:trPr>
        <w:tc>
          <w:tcPr>
            <w:tcW w:w="9209" w:type="dxa"/>
            <w:gridSpan w:val="4"/>
            <w:shd w:val="clear" w:color="000000" w:fill="A9E4E9"/>
            <w:noWrap/>
            <w:vAlign w:val="center"/>
            <w:hideMark/>
          </w:tcPr>
          <w:p w:rsidRPr="005051F2" w:rsidR="00F73E49" w:rsidP="00AB4C9D" w:rsidRDefault="00F73E49" w14:paraId="39D9E113" w14:textId="77777777">
            <w:pPr>
              <w:spacing w:after="0"/>
              <w:rPr>
                <w:rFonts w:ascii="Calibri" w:hAnsi="Calibri" w:eastAsia="Times New Roman" w:cs="Calibri"/>
                <w:b/>
                <w:bCs/>
                <w:sz w:val="20"/>
                <w:szCs w:val="20"/>
                <w:lang w:eastAsia="en-GB"/>
              </w:rPr>
            </w:pPr>
            <w:r w:rsidRPr="005051F2">
              <w:rPr>
                <w:rFonts w:ascii="Calibri" w:hAnsi="Calibri" w:eastAsia="Times New Roman" w:cs="Calibri"/>
                <w:b/>
                <w:bCs/>
                <w:sz w:val="20"/>
                <w:szCs w:val="20"/>
                <w:lang w:eastAsia="en-GB"/>
              </w:rPr>
              <w:t>Equity</w:t>
            </w:r>
          </w:p>
        </w:tc>
      </w:tr>
      <w:tr w:rsidRPr="005051F2" w:rsidR="00F73E49" w:rsidTr="005D5CA5" w14:paraId="21CE0D29" w14:textId="77777777">
        <w:trPr>
          <w:trHeight w:val="340"/>
        </w:trPr>
        <w:tc>
          <w:tcPr>
            <w:tcW w:w="5380" w:type="dxa"/>
            <w:shd w:val="clear" w:color="auto" w:fill="auto"/>
            <w:noWrap/>
            <w:vAlign w:val="center"/>
            <w:hideMark/>
          </w:tcPr>
          <w:p w:rsidRPr="005051F2" w:rsidR="00F73E49" w:rsidP="00AB4C9D" w:rsidRDefault="00F73E49" w14:paraId="6A15E217"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Equity.Portfolio_Swap.Swap</w:t>
            </w:r>
            <w:proofErr w:type="spellEnd"/>
          </w:p>
        </w:tc>
        <w:tc>
          <w:tcPr>
            <w:tcW w:w="1131" w:type="dxa"/>
            <w:shd w:val="clear" w:color="auto" w:fill="auto"/>
            <w:noWrap/>
            <w:vAlign w:val="center"/>
            <w:hideMark/>
          </w:tcPr>
          <w:p w:rsidRPr="005051F2" w:rsidR="00F73E49" w:rsidP="00AB4C9D" w:rsidRDefault="00F73E49" w14:paraId="648F7EC5"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745,316</w:t>
            </w:r>
          </w:p>
        </w:tc>
        <w:tc>
          <w:tcPr>
            <w:tcW w:w="1422" w:type="dxa"/>
            <w:shd w:val="clear" w:color="auto" w:fill="auto"/>
            <w:noWrap/>
            <w:vAlign w:val="center"/>
            <w:hideMark/>
          </w:tcPr>
          <w:p w:rsidRPr="005051F2" w:rsidR="00F73E49" w:rsidP="00AB4C9D" w:rsidRDefault="00F73E49" w14:paraId="6FFF336A"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49,162</w:t>
            </w:r>
          </w:p>
        </w:tc>
        <w:tc>
          <w:tcPr>
            <w:tcW w:w="1276" w:type="dxa"/>
            <w:shd w:val="clear" w:color="auto" w:fill="auto"/>
            <w:noWrap/>
            <w:vAlign w:val="center"/>
            <w:hideMark/>
          </w:tcPr>
          <w:p w:rsidRPr="005051F2" w:rsidR="00F73E49" w:rsidP="00AB4C9D" w:rsidRDefault="00F73E49" w14:paraId="2C646045"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6.60%</w:t>
            </w:r>
          </w:p>
        </w:tc>
      </w:tr>
      <w:tr w:rsidRPr="005051F2" w:rsidR="00F73E49" w:rsidTr="005D5CA5" w14:paraId="2D89545B" w14:textId="77777777">
        <w:trPr>
          <w:trHeight w:val="340"/>
        </w:trPr>
        <w:tc>
          <w:tcPr>
            <w:tcW w:w="5380" w:type="dxa"/>
            <w:shd w:val="clear" w:color="auto" w:fill="auto"/>
            <w:noWrap/>
            <w:vAlign w:val="center"/>
            <w:hideMark/>
          </w:tcPr>
          <w:p w:rsidRPr="005051F2" w:rsidR="00F73E49" w:rsidP="00AB4C9D" w:rsidRDefault="00F73E49" w14:paraId="78DBAC6B"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Equity.Portfolio_Swap_Single_Name.Swap</w:t>
            </w:r>
            <w:proofErr w:type="spellEnd"/>
          </w:p>
        </w:tc>
        <w:tc>
          <w:tcPr>
            <w:tcW w:w="1131" w:type="dxa"/>
            <w:shd w:val="clear" w:color="auto" w:fill="auto"/>
            <w:noWrap/>
            <w:vAlign w:val="center"/>
            <w:hideMark/>
          </w:tcPr>
          <w:p w:rsidRPr="005051F2" w:rsidR="00F73E49" w:rsidP="00AB4C9D" w:rsidRDefault="00F73E49" w14:paraId="1E726C80"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1,084,430</w:t>
            </w:r>
          </w:p>
        </w:tc>
        <w:tc>
          <w:tcPr>
            <w:tcW w:w="1422" w:type="dxa"/>
            <w:shd w:val="clear" w:color="auto" w:fill="auto"/>
            <w:noWrap/>
            <w:vAlign w:val="center"/>
            <w:hideMark/>
          </w:tcPr>
          <w:p w:rsidRPr="005051F2" w:rsidR="00F73E49" w:rsidP="00AB4C9D" w:rsidRDefault="00F73E49" w14:paraId="26B92612"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34,833</w:t>
            </w:r>
          </w:p>
        </w:tc>
        <w:tc>
          <w:tcPr>
            <w:tcW w:w="1276" w:type="dxa"/>
            <w:shd w:val="clear" w:color="auto" w:fill="auto"/>
            <w:noWrap/>
            <w:vAlign w:val="center"/>
            <w:hideMark/>
          </w:tcPr>
          <w:p w:rsidRPr="005051F2" w:rsidR="00F73E49" w:rsidP="00AB4C9D" w:rsidRDefault="00F73E49" w14:paraId="27F64387"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3.21%</w:t>
            </w:r>
          </w:p>
        </w:tc>
      </w:tr>
      <w:tr w:rsidRPr="005051F2" w:rsidR="00F73E49" w:rsidTr="005D5CA5" w14:paraId="58FCBC9C" w14:textId="77777777">
        <w:trPr>
          <w:trHeight w:val="340"/>
        </w:trPr>
        <w:tc>
          <w:tcPr>
            <w:tcW w:w="5380" w:type="dxa"/>
            <w:shd w:val="clear" w:color="auto" w:fill="auto"/>
            <w:noWrap/>
            <w:vAlign w:val="center"/>
            <w:hideMark/>
          </w:tcPr>
          <w:p w:rsidRPr="005051F2" w:rsidR="00F73E49" w:rsidP="00AB4C9D" w:rsidRDefault="00F73E49" w14:paraId="0875F763"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Equity.Price_Return_Basic_Performance_Single_Index.Swap</w:t>
            </w:r>
            <w:proofErr w:type="spellEnd"/>
          </w:p>
        </w:tc>
        <w:tc>
          <w:tcPr>
            <w:tcW w:w="1131" w:type="dxa"/>
            <w:shd w:val="clear" w:color="auto" w:fill="auto"/>
            <w:noWrap/>
            <w:vAlign w:val="center"/>
            <w:hideMark/>
          </w:tcPr>
          <w:p w:rsidRPr="005051F2" w:rsidR="00F73E49" w:rsidP="00AB4C9D" w:rsidRDefault="00F73E49" w14:paraId="30A039A7"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1,170,023</w:t>
            </w:r>
          </w:p>
        </w:tc>
        <w:tc>
          <w:tcPr>
            <w:tcW w:w="1422" w:type="dxa"/>
            <w:shd w:val="clear" w:color="auto" w:fill="auto"/>
            <w:noWrap/>
            <w:vAlign w:val="center"/>
            <w:hideMark/>
          </w:tcPr>
          <w:p w:rsidRPr="005051F2" w:rsidR="00F73E49" w:rsidP="00AB4C9D" w:rsidRDefault="00F73E49" w14:paraId="0DD08759"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11,620</w:t>
            </w:r>
          </w:p>
        </w:tc>
        <w:tc>
          <w:tcPr>
            <w:tcW w:w="1276" w:type="dxa"/>
            <w:shd w:val="clear" w:color="auto" w:fill="auto"/>
            <w:noWrap/>
            <w:vAlign w:val="center"/>
            <w:hideMark/>
          </w:tcPr>
          <w:p w:rsidRPr="005051F2" w:rsidR="00F73E49" w:rsidP="00AB4C9D" w:rsidRDefault="00F73E49" w14:paraId="13E52658"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0.99%</w:t>
            </w:r>
          </w:p>
        </w:tc>
      </w:tr>
      <w:tr w:rsidRPr="005051F2" w:rsidR="00F73E49" w:rsidTr="005D5CA5" w14:paraId="5F29B863" w14:textId="77777777">
        <w:trPr>
          <w:trHeight w:val="340"/>
        </w:trPr>
        <w:tc>
          <w:tcPr>
            <w:tcW w:w="5380" w:type="dxa"/>
            <w:shd w:val="clear" w:color="auto" w:fill="auto"/>
            <w:noWrap/>
            <w:vAlign w:val="center"/>
            <w:hideMark/>
          </w:tcPr>
          <w:p w:rsidRPr="005051F2" w:rsidR="00F73E49" w:rsidP="00AB4C9D" w:rsidRDefault="00F73E49" w14:paraId="72DC80D0"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Equity.Price_Return_Basic_Performance_Single_Name.Swap</w:t>
            </w:r>
            <w:proofErr w:type="spellEnd"/>
          </w:p>
        </w:tc>
        <w:tc>
          <w:tcPr>
            <w:tcW w:w="1131" w:type="dxa"/>
            <w:shd w:val="clear" w:color="auto" w:fill="auto"/>
            <w:noWrap/>
            <w:vAlign w:val="center"/>
            <w:hideMark/>
          </w:tcPr>
          <w:p w:rsidRPr="005051F2" w:rsidR="00F73E49" w:rsidP="00AB4C9D" w:rsidRDefault="00F73E49" w14:paraId="1046AB18"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12,481,763</w:t>
            </w:r>
          </w:p>
        </w:tc>
        <w:tc>
          <w:tcPr>
            <w:tcW w:w="1422" w:type="dxa"/>
            <w:shd w:val="clear" w:color="auto" w:fill="auto"/>
            <w:noWrap/>
            <w:vAlign w:val="center"/>
            <w:hideMark/>
          </w:tcPr>
          <w:p w:rsidRPr="005051F2" w:rsidR="00F73E49" w:rsidP="00AB4C9D" w:rsidRDefault="00F73E49" w14:paraId="021E7131"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93,705</w:t>
            </w:r>
          </w:p>
        </w:tc>
        <w:tc>
          <w:tcPr>
            <w:tcW w:w="1276" w:type="dxa"/>
            <w:shd w:val="clear" w:color="auto" w:fill="auto"/>
            <w:noWrap/>
            <w:vAlign w:val="center"/>
            <w:hideMark/>
          </w:tcPr>
          <w:p w:rsidRPr="005051F2" w:rsidR="00F73E49" w:rsidP="00AB4C9D" w:rsidRDefault="00F73E49" w14:paraId="64E9247D"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0.75%</w:t>
            </w:r>
          </w:p>
        </w:tc>
      </w:tr>
      <w:tr w:rsidRPr="005051F2" w:rsidR="00F73E49" w:rsidTr="005D5CA5" w14:paraId="6C4BB6A3" w14:textId="77777777">
        <w:trPr>
          <w:trHeight w:val="340"/>
        </w:trPr>
        <w:tc>
          <w:tcPr>
            <w:tcW w:w="5380" w:type="dxa"/>
            <w:shd w:val="clear" w:color="auto" w:fill="auto"/>
            <w:noWrap/>
            <w:vAlign w:val="center"/>
            <w:hideMark/>
          </w:tcPr>
          <w:p w:rsidRPr="005051F2" w:rsidR="00F73E49" w:rsidP="00AB4C9D" w:rsidRDefault="00F73E49" w14:paraId="5E938ACD"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Equity.Single_Index.Option</w:t>
            </w:r>
            <w:proofErr w:type="spellEnd"/>
          </w:p>
        </w:tc>
        <w:tc>
          <w:tcPr>
            <w:tcW w:w="1131" w:type="dxa"/>
            <w:shd w:val="clear" w:color="auto" w:fill="auto"/>
            <w:noWrap/>
            <w:vAlign w:val="center"/>
            <w:hideMark/>
          </w:tcPr>
          <w:p w:rsidRPr="005051F2" w:rsidR="00F73E49" w:rsidP="00AB4C9D" w:rsidRDefault="00F73E49" w14:paraId="5D40B655"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1,009,643</w:t>
            </w:r>
          </w:p>
        </w:tc>
        <w:tc>
          <w:tcPr>
            <w:tcW w:w="1422" w:type="dxa"/>
            <w:shd w:val="clear" w:color="auto" w:fill="auto"/>
            <w:noWrap/>
            <w:vAlign w:val="center"/>
            <w:hideMark/>
          </w:tcPr>
          <w:p w:rsidRPr="005051F2" w:rsidR="00F73E49" w:rsidP="00AB4C9D" w:rsidRDefault="00F73E49" w14:paraId="169FCF3F"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2,325</w:t>
            </w:r>
          </w:p>
        </w:tc>
        <w:tc>
          <w:tcPr>
            <w:tcW w:w="1276" w:type="dxa"/>
            <w:shd w:val="clear" w:color="auto" w:fill="auto"/>
            <w:noWrap/>
            <w:vAlign w:val="center"/>
            <w:hideMark/>
          </w:tcPr>
          <w:p w:rsidRPr="005051F2" w:rsidR="00F73E49" w:rsidP="00AB4C9D" w:rsidRDefault="00F73E49" w14:paraId="0BDE5ABD"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0.23%</w:t>
            </w:r>
          </w:p>
        </w:tc>
      </w:tr>
      <w:tr w:rsidRPr="005051F2" w:rsidR="00F73E49" w:rsidTr="005D5CA5" w14:paraId="241487B0" w14:textId="77777777">
        <w:trPr>
          <w:trHeight w:val="340"/>
        </w:trPr>
        <w:tc>
          <w:tcPr>
            <w:tcW w:w="5380" w:type="dxa"/>
            <w:shd w:val="clear" w:color="auto" w:fill="auto"/>
            <w:noWrap/>
            <w:vAlign w:val="center"/>
            <w:hideMark/>
          </w:tcPr>
          <w:p w:rsidRPr="005051F2" w:rsidR="00F73E49" w:rsidP="00AB4C9D" w:rsidRDefault="00F73E49" w14:paraId="2FAA6AF9"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Equity.Single_Name.Option</w:t>
            </w:r>
            <w:proofErr w:type="spellEnd"/>
          </w:p>
        </w:tc>
        <w:tc>
          <w:tcPr>
            <w:tcW w:w="1131" w:type="dxa"/>
            <w:shd w:val="clear" w:color="auto" w:fill="auto"/>
            <w:noWrap/>
            <w:vAlign w:val="center"/>
            <w:hideMark/>
          </w:tcPr>
          <w:p w:rsidRPr="005051F2" w:rsidR="00F73E49" w:rsidP="00AB4C9D" w:rsidRDefault="00F73E49" w14:paraId="37D6B1B1"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1,916,011</w:t>
            </w:r>
          </w:p>
        </w:tc>
        <w:tc>
          <w:tcPr>
            <w:tcW w:w="1422" w:type="dxa"/>
            <w:shd w:val="clear" w:color="auto" w:fill="auto"/>
            <w:noWrap/>
            <w:vAlign w:val="center"/>
            <w:hideMark/>
          </w:tcPr>
          <w:p w:rsidRPr="005051F2" w:rsidR="00F73E49" w:rsidP="00AB4C9D" w:rsidRDefault="00F73E49" w14:paraId="426BA7F8"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28,830</w:t>
            </w:r>
          </w:p>
        </w:tc>
        <w:tc>
          <w:tcPr>
            <w:tcW w:w="1276" w:type="dxa"/>
            <w:shd w:val="clear" w:color="auto" w:fill="auto"/>
            <w:noWrap/>
            <w:vAlign w:val="center"/>
            <w:hideMark/>
          </w:tcPr>
          <w:p w:rsidRPr="005051F2" w:rsidR="00F73E49" w:rsidP="00AB4C9D" w:rsidRDefault="00F73E49" w14:paraId="3717B8AD"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1.50%</w:t>
            </w:r>
          </w:p>
        </w:tc>
      </w:tr>
      <w:tr w:rsidRPr="005051F2" w:rsidR="00F73E49" w:rsidTr="005D5CA5" w14:paraId="7A0C18A0" w14:textId="77777777">
        <w:trPr>
          <w:trHeight w:val="340"/>
        </w:trPr>
        <w:tc>
          <w:tcPr>
            <w:tcW w:w="9209" w:type="dxa"/>
            <w:gridSpan w:val="4"/>
            <w:shd w:val="clear" w:color="000000" w:fill="A9E4E9"/>
            <w:noWrap/>
            <w:vAlign w:val="center"/>
            <w:hideMark/>
          </w:tcPr>
          <w:p w:rsidRPr="005051F2" w:rsidR="00F73E49" w:rsidP="00AB4C9D" w:rsidRDefault="00F73E49" w14:paraId="42A61F50" w14:textId="77777777">
            <w:pPr>
              <w:spacing w:after="0"/>
              <w:rPr>
                <w:rFonts w:ascii="Calibri" w:hAnsi="Calibri" w:eastAsia="Times New Roman" w:cs="Calibri"/>
                <w:b/>
                <w:bCs/>
                <w:sz w:val="20"/>
                <w:szCs w:val="20"/>
                <w:lang w:eastAsia="en-GB"/>
              </w:rPr>
            </w:pPr>
            <w:r w:rsidRPr="005051F2">
              <w:rPr>
                <w:rFonts w:ascii="Calibri" w:hAnsi="Calibri" w:eastAsia="Times New Roman" w:cs="Calibri"/>
                <w:b/>
                <w:bCs/>
                <w:sz w:val="20"/>
                <w:szCs w:val="20"/>
                <w:lang w:eastAsia="en-GB"/>
              </w:rPr>
              <w:t>FX</w:t>
            </w:r>
          </w:p>
        </w:tc>
      </w:tr>
      <w:tr w:rsidRPr="005051F2" w:rsidR="00F73E49" w:rsidTr="005D5CA5" w14:paraId="341972A8" w14:textId="77777777">
        <w:trPr>
          <w:trHeight w:val="340"/>
        </w:trPr>
        <w:tc>
          <w:tcPr>
            <w:tcW w:w="5380" w:type="dxa"/>
            <w:shd w:val="clear" w:color="auto" w:fill="auto"/>
            <w:noWrap/>
            <w:vAlign w:val="center"/>
            <w:hideMark/>
          </w:tcPr>
          <w:p w:rsidRPr="005051F2" w:rsidR="00F73E49" w:rsidP="00AB4C9D" w:rsidRDefault="00F73E49" w14:paraId="3D19A6CA"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Foreign_Exchange.Barrier_Option.Option</w:t>
            </w:r>
            <w:proofErr w:type="spellEnd"/>
          </w:p>
        </w:tc>
        <w:tc>
          <w:tcPr>
            <w:tcW w:w="1131" w:type="dxa"/>
            <w:shd w:val="clear" w:color="auto" w:fill="auto"/>
            <w:noWrap/>
            <w:vAlign w:val="center"/>
            <w:hideMark/>
          </w:tcPr>
          <w:p w:rsidRPr="005051F2" w:rsidR="00F73E49" w:rsidP="00AB4C9D" w:rsidRDefault="00F73E49" w14:paraId="1C20662E"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294,840</w:t>
            </w:r>
          </w:p>
        </w:tc>
        <w:tc>
          <w:tcPr>
            <w:tcW w:w="1422" w:type="dxa"/>
            <w:shd w:val="clear" w:color="auto" w:fill="auto"/>
            <w:noWrap/>
            <w:vAlign w:val="center"/>
            <w:hideMark/>
          </w:tcPr>
          <w:p w:rsidRPr="005051F2" w:rsidR="00F73E49" w:rsidP="00AB4C9D" w:rsidRDefault="00F73E49" w14:paraId="21FCC18A"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1,798</w:t>
            </w:r>
          </w:p>
        </w:tc>
        <w:tc>
          <w:tcPr>
            <w:tcW w:w="1276" w:type="dxa"/>
            <w:shd w:val="clear" w:color="auto" w:fill="auto"/>
            <w:noWrap/>
            <w:vAlign w:val="center"/>
            <w:hideMark/>
          </w:tcPr>
          <w:p w:rsidRPr="005051F2" w:rsidR="00F73E49" w:rsidP="00AB4C9D" w:rsidRDefault="00F73E49" w14:paraId="789981E7"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0.61%</w:t>
            </w:r>
          </w:p>
        </w:tc>
      </w:tr>
      <w:tr w:rsidRPr="005051F2" w:rsidR="00F73E49" w:rsidTr="005D5CA5" w14:paraId="758DDB03" w14:textId="77777777">
        <w:trPr>
          <w:trHeight w:val="340"/>
        </w:trPr>
        <w:tc>
          <w:tcPr>
            <w:tcW w:w="5380" w:type="dxa"/>
            <w:shd w:val="clear" w:color="auto" w:fill="auto"/>
            <w:noWrap/>
            <w:vAlign w:val="center"/>
            <w:hideMark/>
          </w:tcPr>
          <w:p w:rsidRPr="005051F2" w:rsidR="00F73E49" w:rsidP="00AB4C9D" w:rsidRDefault="00F73E49" w14:paraId="4F5054B2"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Foreign_Exchange.Forward.Forward</w:t>
            </w:r>
            <w:proofErr w:type="spellEnd"/>
          </w:p>
        </w:tc>
        <w:tc>
          <w:tcPr>
            <w:tcW w:w="1131" w:type="dxa"/>
            <w:shd w:val="clear" w:color="auto" w:fill="auto"/>
            <w:noWrap/>
            <w:vAlign w:val="center"/>
            <w:hideMark/>
          </w:tcPr>
          <w:p w:rsidRPr="005051F2" w:rsidR="00F73E49" w:rsidP="00AB4C9D" w:rsidRDefault="00F73E49" w14:paraId="57CE1D4F"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4,009,620</w:t>
            </w:r>
          </w:p>
        </w:tc>
        <w:tc>
          <w:tcPr>
            <w:tcW w:w="1422" w:type="dxa"/>
            <w:shd w:val="clear" w:color="auto" w:fill="auto"/>
            <w:noWrap/>
            <w:vAlign w:val="center"/>
            <w:hideMark/>
          </w:tcPr>
          <w:p w:rsidRPr="005051F2" w:rsidR="00F73E49" w:rsidP="00AB4C9D" w:rsidRDefault="00F73E49" w14:paraId="19474814"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5,157</w:t>
            </w:r>
          </w:p>
        </w:tc>
        <w:tc>
          <w:tcPr>
            <w:tcW w:w="1276" w:type="dxa"/>
            <w:shd w:val="clear" w:color="auto" w:fill="auto"/>
            <w:noWrap/>
            <w:vAlign w:val="center"/>
            <w:hideMark/>
          </w:tcPr>
          <w:p w:rsidRPr="005051F2" w:rsidR="00F73E49" w:rsidP="00AB4C9D" w:rsidRDefault="00F73E49" w14:paraId="5EA4DBB7"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0.13%</w:t>
            </w:r>
          </w:p>
        </w:tc>
      </w:tr>
      <w:tr w:rsidRPr="005051F2" w:rsidR="00F73E49" w:rsidTr="005D5CA5" w14:paraId="2F032737" w14:textId="77777777">
        <w:trPr>
          <w:trHeight w:val="340"/>
        </w:trPr>
        <w:tc>
          <w:tcPr>
            <w:tcW w:w="5380" w:type="dxa"/>
            <w:shd w:val="clear" w:color="auto" w:fill="auto"/>
            <w:noWrap/>
            <w:vAlign w:val="center"/>
            <w:hideMark/>
          </w:tcPr>
          <w:p w:rsidRPr="005051F2" w:rsidR="00F73E49" w:rsidP="00AB4C9D" w:rsidRDefault="00F73E49" w14:paraId="5E17F2A1"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Foreign_Exchange.FX_Swap.Swap</w:t>
            </w:r>
            <w:proofErr w:type="spellEnd"/>
          </w:p>
        </w:tc>
        <w:tc>
          <w:tcPr>
            <w:tcW w:w="1131" w:type="dxa"/>
            <w:shd w:val="clear" w:color="auto" w:fill="auto"/>
            <w:noWrap/>
            <w:vAlign w:val="center"/>
            <w:hideMark/>
          </w:tcPr>
          <w:p w:rsidRPr="005051F2" w:rsidR="00F73E49" w:rsidP="00AB4C9D" w:rsidRDefault="00F73E49" w14:paraId="57C40419"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6,930,027</w:t>
            </w:r>
          </w:p>
        </w:tc>
        <w:tc>
          <w:tcPr>
            <w:tcW w:w="1422" w:type="dxa"/>
            <w:shd w:val="clear" w:color="auto" w:fill="auto"/>
            <w:noWrap/>
            <w:vAlign w:val="center"/>
            <w:hideMark/>
          </w:tcPr>
          <w:p w:rsidRPr="005051F2" w:rsidR="00F73E49" w:rsidP="00AB4C9D" w:rsidRDefault="00F73E49" w14:paraId="15DE055B"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995</w:t>
            </w:r>
          </w:p>
        </w:tc>
        <w:tc>
          <w:tcPr>
            <w:tcW w:w="1276" w:type="dxa"/>
            <w:shd w:val="clear" w:color="auto" w:fill="auto"/>
            <w:noWrap/>
            <w:vAlign w:val="center"/>
            <w:hideMark/>
          </w:tcPr>
          <w:p w:rsidRPr="005051F2" w:rsidR="00F73E49" w:rsidP="00AB4C9D" w:rsidRDefault="00F73E49" w14:paraId="01803879"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0.01%</w:t>
            </w:r>
          </w:p>
        </w:tc>
      </w:tr>
      <w:tr w:rsidRPr="005051F2" w:rsidR="00F73E49" w:rsidTr="005D5CA5" w14:paraId="0A385E98" w14:textId="77777777">
        <w:trPr>
          <w:trHeight w:val="340"/>
        </w:trPr>
        <w:tc>
          <w:tcPr>
            <w:tcW w:w="5380" w:type="dxa"/>
            <w:shd w:val="clear" w:color="auto" w:fill="auto"/>
            <w:noWrap/>
            <w:vAlign w:val="center"/>
            <w:hideMark/>
          </w:tcPr>
          <w:p w:rsidRPr="005051F2" w:rsidR="00F73E49" w:rsidP="00AB4C9D" w:rsidRDefault="00F73E49" w14:paraId="270437BC"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Foreign_Exchange.NDF.Forward</w:t>
            </w:r>
            <w:proofErr w:type="spellEnd"/>
          </w:p>
        </w:tc>
        <w:tc>
          <w:tcPr>
            <w:tcW w:w="1131" w:type="dxa"/>
            <w:shd w:val="clear" w:color="auto" w:fill="auto"/>
            <w:noWrap/>
            <w:vAlign w:val="center"/>
            <w:hideMark/>
          </w:tcPr>
          <w:p w:rsidRPr="005051F2" w:rsidR="00F73E49" w:rsidP="00AB4C9D" w:rsidRDefault="00F73E49" w14:paraId="67DAE29A"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700,208</w:t>
            </w:r>
          </w:p>
        </w:tc>
        <w:tc>
          <w:tcPr>
            <w:tcW w:w="1422" w:type="dxa"/>
            <w:shd w:val="clear" w:color="auto" w:fill="auto"/>
            <w:noWrap/>
            <w:vAlign w:val="center"/>
            <w:hideMark/>
          </w:tcPr>
          <w:p w:rsidRPr="005051F2" w:rsidR="00F73E49" w:rsidP="00AB4C9D" w:rsidRDefault="00F73E49" w14:paraId="53341216"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1,371</w:t>
            </w:r>
          </w:p>
        </w:tc>
        <w:tc>
          <w:tcPr>
            <w:tcW w:w="1276" w:type="dxa"/>
            <w:shd w:val="clear" w:color="auto" w:fill="auto"/>
            <w:noWrap/>
            <w:vAlign w:val="center"/>
            <w:hideMark/>
          </w:tcPr>
          <w:p w:rsidRPr="005051F2" w:rsidR="00F73E49" w:rsidP="00AB4C9D" w:rsidRDefault="00F73E49" w14:paraId="0FA6B9F3"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0.20%</w:t>
            </w:r>
          </w:p>
        </w:tc>
      </w:tr>
      <w:tr w:rsidRPr="005051F2" w:rsidR="00F73E49" w:rsidTr="005D5CA5" w14:paraId="1F9198E6" w14:textId="77777777">
        <w:trPr>
          <w:trHeight w:val="340"/>
        </w:trPr>
        <w:tc>
          <w:tcPr>
            <w:tcW w:w="5380" w:type="dxa"/>
            <w:shd w:val="clear" w:color="auto" w:fill="auto"/>
            <w:noWrap/>
            <w:vAlign w:val="center"/>
            <w:hideMark/>
          </w:tcPr>
          <w:p w:rsidRPr="005051F2" w:rsidR="00F73E49" w:rsidP="00AB4C9D" w:rsidRDefault="00F73E49" w14:paraId="2F91B35A"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Foreign_Exchange.NDO.Option</w:t>
            </w:r>
            <w:proofErr w:type="spellEnd"/>
          </w:p>
        </w:tc>
        <w:tc>
          <w:tcPr>
            <w:tcW w:w="1131" w:type="dxa"/>
            <w:shd w:val="clear" w:color="auto" w:fill="auto"/>
            <w:noWrap/>
            <w:vAlign w:val="center"/>
            <w:hideMark/>
          </w:tcPr>
          <w:p w:rsidRPr="005051F2" w:rsidR="00F73E49" w:rsidP="00AB4C9D" w:rsidRDefault="00F73E49" w14:paraId="039A5E23"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327,944</w:t>
            </w:r>
          </w:p>
        </w:tc>
        <w:tc>
          <w:tcPr>
            <w:tcW w:w="1422" w:type="dxa"/>
            <w:shd w:val="clear" w:color="auto" w:fill="auto"/>
            <w:noWrap/>
            <w:vAlign w:val="center"/>
            <w:hideMark/>
          </w:tcPr>
          <w:p w:rsidRPr="005051F2" w:rsidR="00F73E49" w:rsidP="00AB4C9D" w:rsidRDefault="00F73E49" w14:paraId="541A2168"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1,241</w:t>
            </w:r>
          </w:p>
        </w:tc>
        <w:tc>
          <w:tcPr>
            <w:tcW w:w="1276" w:type="dxa"/>
            <w:shd w:val="clear" w:color="auto" w:fill="auto"/>
            <w:noWrap/>
            <w:vAlign w:val="center"/>
            <w:hideMark/>
          </w:tcPr>
          <w:p w:rsidRPr="005051F2" w:rsidR="00F73E49" w:rsidP="00AB4C9D" w:rsidRDefault="00F73E49" w14:paraId="09807192"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0.38%</w:t>
            </w:r>
          </w:p>
        </w:tc>
      </w:tr>
      <w:tr w:rsidRPr="005051F2" w:rsidR="00F73E49" w:rsidTr="005D5CA5" w14:paraId="4F935DF7" w14:textId="77777777">
        <w:trPr>
          <w:trHeight w:val="340"/>
        </w:trPr>
        <w:tc>
          <w:tcPr>
            <w:tcW w:w="5380" w:type="dxa"/>
            <w:shd w:val="clear" w:color="auto" w:fill="auto"/>
            <w:noWrap/>
            <w:vAlign w:val="center"/>
            <w:hideMark/>
          </w:tcPr>
          <w:p w:rsidRPr="005051F2" w:rsidR="00F73E49" w:rsidP="00AB4C9D" w:rsidRDefault="00F73E49" w14:paraId="2FA38580"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Foreign_Exchange.Vanilla_Option.Option</w:t>
            </w:r>
            <w:proofErr w:type="spellEnd"/>
          </w:p>
        </w:tc>
        <w:tc>
          <w:tcPr>
            <w:tcW w:w="1131" w:type="dxa"/>
            <w:shd w:val="clear" w:color="auto" w:fill="auto"/>
            <w:noWrap/>
            <w:vAlign w:val="center"/>
            <w:hideMark/>
          </w:tcPr>
          <w:p w:rsidRPr="005051F2" w:rsidR="00F73E49" w:rsidP="00AB4C9D" w:rsidRDefault="00F73E49" w14:paraId="2F454017"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1,289,203</w:t>
            </w:r>
          </w:p>
        </w:tc>
        <w:tc>
          <w:tcPr>
            <w:tcW w:w="1422" w:type="dxa"/>
            <w:shd w:val="clear" w:color="auto" w:fill="auto"/>
            <w:noWrap/>
            <w:vAlign w:val="center"/>
            <w:hideMark/>
          </w:tcPr>
          <w:p w:rsidRPr="005051F2" w:rsidR="00F73E49" w:rsidP="00AB4C9D" w:rsidRDefault="00F73E49" w14:paraId="0EB87BDD"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1,637</w:t>
            </w:r>
          </w:p>
        </w:tc>
        <w:tc>
          <w:tcPr>
            <w:tcW w:w="1276" w:type="dxa"/>
            <w:shd w:val="clear" w:color="auto" w:fill="auto"/>
            <w:noWrap/>
            <w:vAlign w:val="center"/>
            <w:hideMark/>
          </w:tcPr>
          <w:p w:rsidRPr="005051F2" w:rsidR="00F73E49" w:rsidP="00AB4C9D" w:rsidRDefault="00F73E49" w14:paraId="56748807"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0.13%</w:t>
            </w:r>
          </w:p>
        </w:tc>
      </w:tr>
      <w:tr w:rsidRPr="005051F2" w:rsidR="00F73E49" w:rsidTr="005D5CA5" w14:paraId="0FAF7B15" w14:textId="77777777">
        <w:trPr>
          <w:trHeight w:val="340"/>
        </w:trPr>
        <w:tc>
          <w:tcPr>
            <w:tcW w:w="9209" w:type="dxa"/>
            <w:gridSpan w:val="4"/>
            <w:shd w:val="clear" w:color="000000" w:fill="A9E4E9"/>
            <w:noWrap/>
            <w:vAlign w:val="center"/>
            <w:hideMark/>
          </w:tcPr>
          <w:p w:rsidRPr="005051F2" w:rsidR="00F73E49" w:rsidP="00AB4C9D" w:rsidRDefault="00F73E49" w14:paraId="6388BC5F" w14:textId="77777777">
            <w:pPr>
              <w:spacing w:after="0"/>
              <w:rPr>
                <w:rFonts w:ascii="Calibri" w:hAnsi="Calibri" w:eastAsia="Times New Roman" w:cs="Calibri"/>
                <w:b/>
                <w:bCs/>
                <w:sz w:val="20"/>
                <w:szCs w:val="20"/>
                <w:lang w:eastAsia="en-GB"/>
              </w:rPr>
            </w:pPr>
            <w:r w:rsidRPr="005051F2">
              <w:rPr>
                <w:rFonts w:ascii="Calibri" w:hAnsi="Calibri" w:eastAsia="Times New Roman" w:cs="Calibri"/>
                <w:b/>
                <w:bCs/>
                <w:sz w:val="20"/>
                <w:szCs w:val="20"/>
                <w:lang w:eastAsia="en-GB"/>
              </w:rPr>
              <w:t>Rates</w:t>
            </w:r>
          </w:p>
        </w:tc>
      </w:tr>
      <w:tr w:rsidRPr="005051F2" w:rsidR="00F73E49" w:rsidTr="005D5CA5" w14:paraId="35F81931" w14:textId="77777777">
        <w:trPr>
          <w:trHeight w:val="340"/>
        </w:trPr>
        <w:tc>
          <w:tcPr>
            <w:tcW w:w="5380" w:type="dxa"/>
            <w:shd w:val="clear" w:color="auto" w:fill="auto"/>
            <w:noWrap/>
            <w:vAlign w:val="center"/>
            <w:hideMark/>
          </w:tcPr>
          <w:p w:rsidRPr="005051F2" w:rsidR="00F73E49" w:rsidP="00AB4C9D" w:rsidRDefault="00F73E49" w14:paraId="5A117DB0"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Rates.Basis.Swap</w:t>
            </w:r>
            <w:proofErr w:type="spellEnd"/>
          </w:p>
        </w:tc>
        <w:tc>
          <w:tcPr>
            <w:tcW w:w="1131" w:type="dxa"/>
            <w:shd w:val="clear" w:color="auto" w:fill="auto"/>
            <w:noWrap/>
            <w:vAlign w:val="center"/>
            <w:hideMark/>
          </w:tcPr>
          <w:p w:rsidRPr="005051F2" w:rsidR="00F73E49" w:rsidP="00AB4C9D" w:rsidRDefault="00F73E49" w14:paraId="6C0FB774"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1,440,422</w:t>
            </w:r>
          </w:p>
        </w:tc>
        <w:tc>
          <w:tcPr>
            <w:tcW w:w="1422" w:type="dxa"/>
            <w:shd w:val="clear" w:color="auto" w:fill="auto"/>
            <w:noWrap/>
            <w:vAlign w:val="center"/>
            <w:hideMark/>
          </w:tcPr>
          <w:p w:rsidRPr="005051F2" w:rsidR="00F73E49" w:rsidP="00AB4C9D" w:rsidRDefault="00F73E49" w14:paraId="31FDDA46"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2,963</w:t>
            </w:r>
          </w:p>
        </w:tc>
        <w:tc>
          <w:tcPr>
            <w:tcW w:w="1276" w:type="dxa"/>
            <w:shd w:val="clear" w:color="auto" w:fill="auto"/>
            <w:noWrap/>
            <w:vAlign w:val="center"/>
            <w:hideMark/>
          </w:tcPr>
          <w:p w:rsidRPr="005051F2" w:rsidR="00F73E49" w:rsidP="00AB4C9D" w:rsidRDefault="00F73E49" w14:paraId="72AB7017"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0.21%</w:t>
            </w:r>
          </w:p>
        </w:tc>
      </w:tr>
      <w:tr w:rsidRPr="005051F2" w:rsidR="00F73E49" w:rsidTr="005D5CA5" w14:paraId="0CF9FAD4" w14:textId="77777777">
        <w:trPr>
          <w:trHeight w:val="340"/>
        </w:trPr>
        <w:tc>
          <w:tcPr>
            <w:tcW w:w="5380" w:type="dxa"/>
            <w:shd w:val="clear" w:color="auto" w:fill="auto"/>
            <w:noWrap/>
            <w:vAlign w:val="center"/>
            <w:hideMark/>
          </w:tcPr>
          <w:p w:rsidRPr="005051F2" w:rsidR="00F73E49" w:rsidP="00AB4C9D" w:rsidRDefault="00F73E49" w14:paraId="09EB49F1"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Rates.Cross_Currency_Basis.Swap</w:t>
            </w:r>
            <w:proofErr w:type="spellEnd"/>
          </w:p>
        </w:tc>
        <w:tc>
          <w:tcPr>
            <w:tcW w:w="1131" w:type="dxa"/>
            <w:shd w:val="clear" w:color="auto" w:fill="auto"/>
            <w:noWrap/>
            <w:vAlign w:val="center"/>
            <w:hideMark/>
          </w:tcPr>
          <w:p w:rsidRPr="005051F2" w:rsidR="00F73E49" w:rsidP="00AB4C9D" w:rsidRDefault="00F73E49" w14:paraId="22804D90"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684,919</w:t>
            </w:r>
          </w:p>
        </w:tc>
        <w:tc>
          <w:tcPr>
            <w:tcW w:w="1422" w:type="dxa"/>
            <w:shd w:val="clear" w:color="auto" w:fill="auto"/>
            <w:noWrap/>
            <w:vAlign w:val="center"/>
            <w:hideMark/>
          </w:tcPr>
          <w:p w:rsidRPr="005051F2" w:rsidR="00F73E49" w:rsidP="00AB4C9D" w:rsidRDefault="00F73E49" w14:paraId="2F2C4AD4"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4,567</w:t>
            </w:r>
          </w:p>
        </w:tc>
        <w:tc>
          <w:tcPr>
            <w:tcW w:w="1276" w:type="dxa"/>
            <w:shd w:val="clear" w:color="auto" w:fill="auto"/>
            <w:noWrap/>
            <w:vAlign w:val="center"/>
            <w:hideMark/>
          </w:tcPr>
          <w:p w:rsidRPr="005051F2" w:rsidR="00F73E49" w:rsidP="00AB4C9D" w:rsidRDefault="00F73E49" w14:paraId="513F85B9"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0.67%</w:t>
            </w:r>
          </w:p>
        </w:tc>
      </w:tr>
      <w:tr w:rsidRPr="005051F2" w:rsidR="00F73E49" w:rsidTr="005D5CA5" w14:paraId="580AC190" w14:textId="77777777">
        <w:trPr>
          <w:trHeight w:val="340"/>
        </w:trPr>
        <w:tc>
          <w:tcPr>
            <w:tcW w:w="5380" w:type="dxa"/>
            <w:shd w:val="clear" w:color="auto" w:fill="auto"/>
            <w:noWrap/>
            <w:vAlign w:val="center"/>
            <w:hideMark/>
          </w:tcPr>
          <w:p w:rsidRPr="005051F2" w:rsidR="00F73E49" w:rsidP="00AB4C9D" w:rsidRDefault="00F73E49" w14:paraId="6D184AB7"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Rates.Cross_Currency_Fixed_Float.Swap</w:t>
            </w:r>
            <w:proofErr w:type="spellEnd"/>
          </w:p>
        </w:tc>
        <w:tc>
          <w:tcPr>
            <w:tcW w:w="1131" w:type="dxa"/>
            <w:shd w:val="clear" w:color="auto" w:fill="auto"/>
            <w:noWrap/>
            <w:vAlign w:val="center"/>
            <w:hideMark/>
          </w:tcPr>
          <w:p w:rsidRPr="005051F2" w:rsidR="00F73E49" w:rsidP="00AB4C9D" w:rsidRDefault="00F73E49" w14:paraId="57F7350E"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233,638</w:t>
            </w:r>
          </w:p>
        </w:tc>
        <w:tc>
          <w:tcPr>
            <w:tcW w:w="1422" w:type="dxa"/>
            <w:shd w:val="clear" w:color="auto" w:fill="auto"/>
            <w:noWrap/>
            <w:vAlign w:val="center"/>
            <w:hideMark/>
          </w:tcPr>
          <w:p w:rsidRPr="005051F2" w:rsidR="00F73E49" w:rsidP="00AB4C9D" w:rsidRDefault="00F73E49" w14:paraId="41BB4D8D"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3,350</w:t>
            </w:r>
          </w:p>
        </w:tc>
        <w:tc>
          <w:tcPr>
            <w:tcW w:w="1276" w:type="dxa"/>
            <w:shd w:val="clear" w:color="auto" w:fill="auto"/>
            <w:noWrap/>
            <w:vAlign w:val="center"/>
            <w:hideMark/>
          </w:tcPr>
          <w:p w:rsidRPr="005051F2" w:rsidR="00F73E49" w:rsidP="00AB4C9D" w:rsidRDefault="00F73E49" w14:paraId="499AF08A"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1.43%</w:t>
            </w:r>
          </w:p>
        </w:tc>
      </w:tr>
      <w:tr w:rsidRPr="005051F2" w:rsidR="00F73E49" w:rsidTr="005D5CA5" w14:paraId="35C2968D" w14:textId="77777777">
        <w:trPr>
          <w:trHeight w:val="340"/>
        </w:trPr>
        <w:tc>
          <w:tcPr>
            <w:tcW w:w="5380" w:type="dxa"/>
            <w:shd w:val="clear" w:color="auto" w:fill="auto"/>
            <w:noWrap/>
            <w:vAlign w:val="center"/>
            <w:hideMark/>
          </w:tcPr>
          <w:p w:rsidRPr="005051F2" w:rsidR="00F73E49" w:rsidP="00AB4C9D" w:rsidRDefault="00F73E49" w14:paraId="2FB08C94"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Rates.Fixed_Float.Swap</w:t>
            </w:r>
            <w:proofErr w:type="spellEnd"/>
          </w:p>
        </w:tc>
        <w:tc>
          <w:tcPr>
            <w:tcW w:w="1131" w:type="dxa"/>
            <w:shd w:val="clear" w:color="auto" w:fill="auto"/>
            <w:noWrap/>
            <w:vAlign w:val="center"/>
            <w:hideMark/>
          </w:tcPr>
          <w:p w:rsidRPr="005051F2" w:rsidR="00F73E49" w:rsidP="00AB4C9D" w:rsidRDefault="00F73E49" w14:paraId="230DC662"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4,680,244</w:t>
            </w:r>
          </w:p>
        </w:tc>
        <w:tc>
          <w:tcPr>
            <w:tcW w:w="1422" w:type="dxa"/>
            <w:shd w:val="clear" w:color="auto" w:fill="auto"/>
            <w:noWrap/>
            <w:vAlign w:val="center"/>
            <w:hideMark/>
          </w:tcPr>
          <w:p w:rsidRPr="005051F2" w:rsidR="00F73E49" w:rsidP="00AB4C9D" w:rsidRDefault="00F73E49" w14:paraId="6280756A"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4,586</w:t>
            </w:r>
          </w:p>
        </w:tc>
        <w:tc>
          <w:tcPr>
            <w:tcW w:w="1276" w:type="dxa"/>
            <w:shd w:val="clear" w:color="auto" w:fill="auto"/>
            <w:noWrap/>
            <w:vAlign w:val="center"/>
            <w:hideMark/>
          </w:tcPr>
          <w:p w:rsidRPr="005051F2" w:rsidR="00F73E49" w:rsidP="00AB4C9D" w:rsidRDefault="00F73E49" w14:paraId="75255F36"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0.10%</w:t>
            </w:r>
          </w:p>
        </w:tc>
      </w:tr>
      <w:tr w:rsidRPr="005051F2" w:rsidR="00F73E49" w:rsidTr="005D5CA5" w14:paraId="07704A7E" w14:textId="77777777">
        <w:trPr>
          <w:trHeight w:val="340"/>
        </w:trPr>
        <w:tc>
          <w:tcPr>
            <w:tcW w:w="5380" w:type="dxa"/>
            <w:shd w:val="clear" w:color="auto" w:fill="auto"/>
            <w:noWrap/>
            <w:vAlign w:val="center"/>
            <w:hideMark/>
          </w:tcPr>
          <w:p w:rsidRPr="005051F2" w:rsidR="00F73E49" w:rsidP="00AB4C9D" w:rsidRDefault="00F73E49" w14:paraId="0516637C"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Rates.Fixed_Float_OIS.Swap</w:t>
            </w:r>
            <w:proofErr w:type="spellEnd"/>
          </w:p>
        </w:tc>
        <w:tc>
          <w:tcPr>
            <w:tcW w:w="1131" w:type="dxa"/>
            <w:shd w:val="clear" w:color="auto" w:fill="auto"/>
            <w:noWrap/>
            <w:vAlign w:val="center"/>
            <w:hideMark/>
          </w:tcPr>
          <w:p w:rsidRPr="005051F2" w:rsidR="00F73E49" w:rsidP="00AB4C9D" w:rsidRDefault="00F73E49" w14:paraId="46F351BB"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1,161,524</w:t>
            </w:r>
          </w:p>
        </w:tc>
        <w:tc>
          <w:tcPr>
            <w:tcW w:w="1422" w:type="dxa"/>
            <w:shd w:val="clear" w:color="auto" w:fill="auto"/>
            <w:noWrap/>
            <w:vAlign w:val="center"/>
            <w:hideMark/>
          </w:tcPr>
          <w:p w:rsidRPr="005051F2" w:rsidR="00F73E49" w:rsidP="00AB4C9D" w:rsidRDefault="00F73E49" w14:paraId="7F9349EC"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2,875</w:t>
            </w:r>
          </w:p>
        </w:tc>
        <w:tc>
          <w:tcPr>
            <w:tcW w:w="1276" w:type="dxa"/>
            <w:shd w:val="clear" w:color="auto" w:fill="auto"/>
            <w:noWrap/>
            <w:vAlign w:val="center"/>
            <w:hideMark/>
          </w:tcPr>
          <w:p w:rsidRPr="005051F2" w:rsidR="00F73E49" w:rsidP="00AB4C9D" w:rsidRDefault="00F73E49" w14:paraId="5087DE84"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0.25%</w:t>
            </w:r>
          </w:p>
        </w:tc>
      </w:tr>
      <w:tr w:rsidRPr="005051F2" w:rsidR="00F73E49" w:rsidTr="005D5CA5" w14:paraId="28A95276" w14:textId="77777777">
        <w:trPr>
          <w:trHeight w:val="340"/>
        </w:trPr>
        <w:tc>
          <w:tcPr>
            <w:tcW w:w="5380" w:type="dxa"/>
            <w:shd w:val="clear" w:color="auto" w:fill="auto"/>
            <w:noWrap/>
            <w:vAlign w:val="center"/>
            <w:hideMark/>
          </w:tcPr>
          <w:p w:rsidRPr="005051F2" w:rsidR="00F73E49" w:rsidP="00AB4C9D" w:rsidRDefault="00F73E49" w14:paraId="79E683C2"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Rates.FRA_Index.Forward</w:t>
            </w:r>
            <w:proofErr w:type="spellEnd"/>
          </w:p>
        </w:tc>
        <w:tc>
          <w:tcPr>
            <w:tcW w:w="1131" w:type="dxa"/>
            <w:shd w:val="clear" w:color="auto" w:fill="auto"/>
            <w:noWrap/>
            <w:vAlign w:val="center"/>
            <w:hideMark/>
          </w:tcPr>
          <w:p w:rsidRPr="005051F2" w:rsidR="00F73E49" w:rsidP="00AB4C9D" w:rsidRDefault="00F73E49" w14:paraId="1B59AE54"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395,601</w:t>
            </w:r>
          </w:p>
        </w:tc>
        <w:tc>
          <w:tcPr>
            <w:tcW w:w="1422" w:type="dxa"/>
            <w:shd w:val="clear" w:color="auto" w:fill="auto"/>
            <w:noWrap/>
            <w:vAlign w:val="center"/>
            <w:hideMark/>
          </w:tcPr>
          <w:p w:rsidRPr="005051F2" w:rsidR="00F73E49" w:rsidP="00AB4C9D" w:rsidRDefault="00F73E49" w14:paraId="5A8181F0"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1,330</w:t>
            </w:r>
          </w:p>
        </w:tc>
        <w:tc>
          <w:tcPr>
            <w:tcW w:w="1276" w:type="dxa"/>
            <w:shd w:val="clear" w:color="auto" w:fill="auto"/>
            <w:noWrap/>
            <w:vAlign w:val="center"/>
            <w:hideMark/>
          </w:tcPr>
          <w:p w:rsidRPr="005051F2" w:rsidR="00F73E49" w:rsidP="00AB4C9D" w:rsidRDefault="00F73E49" w14:paraId="3562C195"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0.34%</w:t>
            </w:r>
          </w:p>
        </w:tc>
      </w:tr>
      <w:tr w:rsidRPr="005051F2" w:rsidR="00F73E49" w:rsidTr="005D5CA5" w14:paraId="0D19178B" w14:textId="77777777">
        <w:trPr>
          <w:trHeight w:val="340"/>
        </w:trPr>
        <w:tc>
          <w:tcPr>
            <w:tcW w:w="5380" w:type="dxa"/>
            <w:shd w:val="clear" w:color="auto" w:fill="auto"/>
            <w:noWrap/>
            <w:vAlign w:val="center"/>
            <w:hideMark/>
          </w:tcPr>
          <w:p w:rsidRPr="005051F2" w:rsidR="00F73E49" w:rsidP="00AB4C9D" w:rsidRDefault="00F73E49" w14:paraId="02CD50D6" w14:textId="77777777">
            <w:pPr>
              <w:spacing w:after="0"/>
              <w:rPr>
                <w:rFonts w:ascii="Calibri" w:hAnsi="Calibri" w:eastAsia="Times New Roman" w:cs="Calibri"/>
                <w:color w:val="000000"/>
                <w:sz w:val="20"/>
                <w:szCs w:val="20"/>
                <w:lang w:eastAsia="en-GB"/>
              </w:rPr>
            </w:pPr>
            <w:proofErr w:type="spellStart"/>
            <w:r w:rsidRPr="005051F2">
              <w:rPr>
                <w:rFonts w:ascii="Calibri" w:hAnsi="Calibri" w:eastAsia="Times New Roman" w:cs="Calibri"/>
                <w:color w:val="000000"/>
                <w:sz w:val="20"/>
                <w:szCs w:val="20"/>
                <w:lang w:eastAsia="en-GB"/>
              </w:rPr>
              <w:t>Rates.Inflation_Swap.Swap</w:t>
            </w:r>
            <w:proofErr w:type="spellEnd"/>
          </w:p>
        </w:tc>
        <w:tc>
          <w:tcPr>
            <w:tcW w:w="1131" w:type="dxa"/>
            <w:shd w:val="clear" w:color="auto" w:fill="auto"/>
            <w:noWrap/>
            <w:vAlign w:val="center"/>
            <w:hideMark/>
          </w:tcPr>
          <w:p w:rsidRPr="005051F2" w:rsidR="00F73E49" w:rsidP="00AB4C9D" w:rsidRDefault="00F73E49" w14:paraId="19A2DEA9"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293,466</w:t>
            </w:r>
          </w:p>
        </w:tc>
        <w:tc>
          <w:tcPr>
            <w:tcW w:w="1422" w:type="dxa"/>
            <w:shd w:val="clear" w:color="auto" w:fill="auto"/>
            <w:noWrap/>
            <w:vAlign w:val="center"/>
            <w:hideMark/>
          </w:tcPr>
          <w:p w:rsidRPr="005051F2" w:rsidR="00F73E49" w:rsidP="00AB4C9D" w:rsidRDefault="00F73E49" w14:paraId="1844C6BA" w14:textId="77777777">
            <w:pPr>
              <w:spacing w:after="0"/>
              <w:jc w:val="right"/>
              <w:rPr>
                <w:rFonts w:ascii="Calibri" w:hAnsi="Calibri" w:eastAsia="Times New Roman" w:cs="Calibri"/>
                <w:color w:val="000000"/>
                <w:sz w:val="20"/>
                <w:szCs w:val="20"/>
                <w:lang w:eastAsia="en-GB"/>
              </w:rPr>
            </w:pPr>
            <w:r w:rsidRPr="005051F2">
              <w:rPr>
                <w:rFonts w:ascii="Calibri" w:hAnsi="Calibri" w:eastAsia="Times New Roman" w:cs="Calibri"/>
                <w:color w:val="000000"/>
                <w:sz w:val="20"/>
                <w:szCs w:val="20"/>
                <w:lang w:eastAsia="en-GB"/>
              </w:rPr>
              <w:t>1,173</w:t>
            </w:r>
          </w:p>
        </w:tc>
        <w:tc>
          <w:tcPr>
            <w:tcW w:w="1276" w:type="dxa"/>
            <w:shd w:val="clear" w:color="auto" w:fill="auto"/>
            <w:noWrap/>
            <w:vAlign w:val="center"/>
            <w:hideMark/>
          </w:tcPr>
          <w:p w:rsidRPr="005051F2" w:rsidR="00F73E49" w:rsidP="00AB4C9D" w:rsidRDefault="00F73E49" w14:paraId="21888312" w14:textId="77777777">
            <w:pPr>
              <w:spacing w:after="0"/>
              <w:jc w:val="right"/>
              <w:rPr>
                <w:rFonts w:ascii="Calibri" w:hAnsi="Calibri" w:eastAsia="Times New Roman" w:cs="Calibri"/>
                <w:sz w:val="20"/>
                <w:szCs w:val="20"/>
                <w:lang w:eastAsia="en-GB"/>
              </w:rPr>
            </w:pPr>
            <w:r w:rsidRPr="005051F2">
              <w:rPr>
                <w:rFonts w:ascii="Calibri" w:hAnsi="Calibri" w:eastAsia="Times New Roman" w:cs="Calibri"/>
                <w:sz w:val="20"/>
                <w:szCs w:val="20"/>
                <w:lang w:eastAsia="en-GB"/>
              </w:rPr>
              <w:t>0.40%</w:t>
            </w:r>
          </w:p>
        </w:tc>
      </w:tr>
      <w:tr w:rsidRPr="005051F2" w:rsidR="00F73E49" w:rsidTr="005D5CA5" w14:paraId="716DA696" w14:textId="77777777">
        <w:trPr>
          <w:trHeight w:val="470"/>
        </w:trPr>
        <w:tc>
          <w:tcPr>
            <w:tcW w:w="5380" w:type="dxa"/>
            <w:shd w:val="clear" w:color="000000" w:fill="30AEB9"/>
            <w:noWrap/>
            <w:vAlign w:val="center"/>
            <w:hideMark/>
          </w:tcPr>
          <w:p w:rsidRPr="005051F2" w:rsidR="00F73E49" w:rsidP="00AB4C9D" w:rsidRDefault="00F73E49" w14:paraId="16A8E659" w14:textId="77777777">
            <w:pPr>
              <w:spacing w:after="0"/>
              <w:rPr>
                <w:rFonts w:ascii="Calibri" w:hAnsi="Calibri" w:eastAsia="Times New Roman" w:cs="Calibri"/>
                <w:b/>
                <w:bCs/>
                <w:color w:val="FFFFFF"/>
                <w:sz w:val="20"/>
                <w:szCs w:val="20"/>
                <w:lang w:eastAsia="en-GB"/>
              </w:rPr>
            </w:pPr>
            <w:r w:rsidRPr="005051F2">
              <w:rPr>
                <w:rFonts w:ascii="Calibri" w:hAnsi="Calibri" w:eastAsia="Times New Roman" w:cs="Calibri"/>
                <w:b/>
                <w:bCs/>
                <w:color w:val="FFFFFF"/>
                <w:sz w:val="20"/>
                <w:szCs w:val="20"/>
                <w:lang w:eastAsia="en-GB"/>
              </w:rPr>
              <w:t>TOTAL</w:t>
            </w:r>
          </w:p>
        </w:tc>
        <w:tc>
          <w:tcPr>
            <w:tcW w:w="1131" w:type="dxa"/>
            <w:shd w:val="clear" w:color="000000" w:fill="30AEB9"/>
            <w:noWrap/>
            <w:vAlign w:val="center"/>
            <w:hideMark/>
          </w:tcPr>
          <w:p w:rsidRPr="005051F2" w:rsidR="00F73E49" w:rsidP="00AB4C9D" w:rsidRDefault="00F73E49" w14:paraId="6899964F" w14:textId="77777777">
            <w:pPr>
              <w:spacing w:after="0"/>
              <w:jc w:val="right"/>
              <w:rPr>
                <w:rFonts w:ascii="Calibri" w:hAnsi="Calibri" w:eastAsia="Times New Roman" w:cs="Calibri"/>
                <w:b/>
                <w:bCs/>
                <w:color w:val="FFFFFF"/>
                <w:sz w:val="20"/>
                <w:szCs w:val="20"/>
                <w:lang w:eastAsia="en-GB"/>
              </w:rPr>
            </w:pPr>
            <w:r w:rsidRPr="005051F2">
              <w:rPr>
                <w:rFonts w:ascii="Calibri" w:hAnsi="Calibri" w:eastAsia="Times New Roman" w:cs="Calibri"/>
                <w:b/>
                <w:bCs/>
                <w:color w:val="FFFFFF"/>
                <w:sz w:val="20"/>
                <w:szCs w:val="20"/>
                <w:lang w:eastAsia="en-GB"/>
              </w:rPr>
              <w:t>41,754,283</w:t>
            </w:r>
          </w:p>
        </w:tc>
        <w:tc>
          <w:tcPr>
            <w:tcW w:w="1422" w:type="dxa"/>
            <w:shd w:val="clear" w:color="000000" w:fill="30AEB9"/>
            <w:noWrap/>
            <w:vAlign w:val="center"/>
            <w:hideMark/>
          </w:tcPr>
          <w:p w:rsidRPr="005051F2" w:rsidR="00F73E49" w:rsidP="00AB4C9D" w:rsidRDefault="00F73E49" w14:paraId="67283475" w14:textId="77777777">
            <w:pPr>
              <w:spacing w:after="0"/>
              <w:jc w:val="right"/>
              <w:rPr>
                <w:rFonts w:ascii="Calibri" w:hAnsi="Calibri" w:eastAsia="Times New Roman" w:cs="Calibri"/>
                <w:b/>
                <w:bCs/>
                <w:color w:val="FFFFFF"/>
                <w:sz w:val="20"/>
                <w:szCs w:val="20"/>
                <w:lang w:eastAsia="en-GB"/>
              </w:rPr>
            </w:pPr>
            <w:r w:rsidRPr="005051F2">
              <w:rPr>
                <w:rFonts w:ascii="Calibri" w:hAnsi="Calibri" w:eastAsia="Times New Roman" w:cs="Calibri"/>
                <w:b/>
                <w:bCs/>
                <w:color w:val="FFFFFF"/>
                <w:sz w:val="20"/>
                <w:szCs w:val="20"/>
                <w:lang w:eastAsia="en-GB"/>
              </w:rPr>
              <w:t>292,591</w:t>
            </w:r>
          </w:p>
        </w:tc>
        <w:tc>
          <w:tcPr>
            <w:tcW w:w="1276" w:type="dxa"/>
            <w:shd w:val="clear" w:color="000000" w:fill="30AEB9"/>
            <w:noWrap/>
            <w:vAlign w:val="center"/>
            <w:hideMark/>
          </w:tcPr>
          <w:p w:rsidRPr="005051F2" w:rsidR="00F73E49" w:rsidP="00AB4C9D" w:rsidRDefault="00F73E49" w14:paraId="0C714B97" w14:textId="77777777">
            <w:pPr>
              <w:spacing w:after="0"/>
              <w:jc w:val="right"/>
              <w:rPr>
                <w:rFonts w:ascii="Calibri" w:hAnsi="Calibri" w:eastAsia="Times New Roman" w:cs="Calibri"/>
                <w:b/>
                <w:bCs/>
                <w:color w:val="FFFFFF"/>
                <w:sz w:val="20"/>
                <w:szCs w:val="20"/>
                <w:lang w:eastAsia="en-GB"/>
              </w:rPr>
            </w:pPr>
            <w:r w:rsidRPr="005051F2">
              <w:rPr>
                <w:rFonts w:ascii="Calibri" w:hAnsi="Calibri" w:eastAsia="Times New Roman" w:cs="Calibri"/>
                <w:b/>
                <w:bCs/>
                <w:color w:val="FFFFFF"/>
                <w:sz w:val="20"/>
                <w:szCs w:val="20"/>
                <w:lang w:eastAsia="en-GB"/>
              </w:rPr>
              <w:t>0.70%</w:t>
            </w:r>
          </w:p>
        </w:tc>
      </w:tr>
    </w:tbl>
    <w:p w:rsidR="00F73E49" w:rsidP="00AB4C9D" w:rsidRDefault="00F73E49" w14:paraId="169CB451" w14:textId="77777777">
      <w:pPr>
        <w:rPr>
          <w:lang w:val="it-IT"/>
        </w:rPr>
      </w:pPr>
    </w:p>
    <w:p w:rsidR="000876F3" w:rsidRDefault="000876F3" w14:paraId="6CBC5F78" w14:textId="77777777">
      <w:pPr>
        <w:rPr>
          <w:rFonts w:asciiTheme="majorHAnsi" w:hAnsiTheme="majorHAnsi" w:eastAsiaTheme="majorEastAsia" w:cstheme="majorBidi"/>
          <w:color w:val="365F91" w:themeColor="accent1" w:themeShade="BF"/>
          <w:sz w:val="32"/>
          <w:szCs w:val="32"/>
          <w:lang w:val="en-GB"/>
        </w:rPr>
      </w:pPr>
      <w:bookmarkStart w:name="_Ref57817085" w:id="625"/>
      <w:bookmarkStart w:name="_Toc69802017" w:id="626"/>
      <w:r>
        <w:br w:type="page"/>
      </w:r>
    </w:p>
    <w:p w:rsidRPr="00DD54E4" w:rsidR="00F73E49" w:rsidP="00F73E49" w:rsidRDefault="00F73E49" w14:paraId="14BE4997" w14:textId="466F4BFF">
      <w:pPr>
        <w:pStyle w:val="Heading1"/>
      </w:pPr>
      <w:bookmarkStart w:name="_Toc71369611" w:id="627"/>
      <w:r>
        <w:t>Feedback Form - Summary of Questions for Industry Response</w:t>
      </w:r>
      <w:bookmarkEnd w:id="572"/>
      <w:bookmarkEnd w:id="573"/>
      <w:bookmarkEnd w:id="625"/>
      <w:bookmarkEnd w:id="626"/>
      <w:bookmarkEnd w:id="627"/>
      <w:r w:rsidRPr="00DD54E4">
        <w:t xml:space="preserve"> </w:t>
      </w:r>
    </w:p>
    <w:p w:rsidRPr="004A5599" w:rsidR="00F73E49" w:rsidP="00F73E49" w:rsidRDefault="00F73E49" w14:paraId="6319E83D" w14:textId="77777777">
      <w:pPr>
        <w:pStyle w:val="NormalWeb"/>
        <w:spacing w:before="240" w:beforeAutospacing="0" w:after="120" w:afterAutospacing="0" w:line="276" w:lineRule="auto"/>
        <w:jc w:val="both"/>
        <w:rPr>
          <w:rFonts w:asciiTheme="minorHAnsi" w:hAnsiTheme="minorHAnsi" w:eastAsiaTheme="minorHAnsi" w:cstheme="minorBidi"/>
          <w:b/>
          <w:sz w:val="22"/>
          <w:szCs w:val="22"/>
          <w:lang w:val="en-GB"/>
        </w:rPr>
      </w:pPr>
      <w:r w:rsidRPr="004A5599">
        <w:rPr>
          <w:rFonts w:asciiTheme="minorHAnsi" w:hAnsiTheme="minorHAnsi" w:eastAsiaTheme="minorHAnsi" w:cstheme="minorBidi"/>
          <w:b/>
          <w:sz w:val="22"/>
          <w:szCs w:val="22"/>
          <w:lang w:val="en-GB"/>
        </w:rPr>
        <w:t xml:space="preserve">Proposed Format for Industry Responses to the DSB Consultations: </w:t>
      </w:r>
    </w:p>
    <w:p w:rsidR="00F73E49" w:rsidP="00AB4C9D" w:rsidRDefault="00F73E49" w14:paraId="73EF69D0" w14:textId="77777777">
      <w:pPr>
        <w:pStyle w:val="ListParagraph"/>
        <w:numPr>
          <w:ilvl w:val="0"/>
          <w:numId w:val="9"/>
        </w:numPr>
        <w:spacing w:after="120" w:line="276" w:lineRule="auto"/>
        <w:contextualSpacing w:val="0"/>
        <w:jc w:val="both"/>
      </w:pPr>
      <w:r>
        <w:t xml:space="preserve">Consultation responses should be completed using the form below and emailed to </w:t>
      </w:r>
      <w:hyperlink w:history="1" r:id="rId31">
        <w:r>
          <w:rPr>
            <w:rStyle w:val="Hyperlink"/>
          </w:rPr>
          <w:t>industry_consultation@anna-dsb.com</w:t>
        </w:r>
      </w:hyperlink>
      <w:r>
        <w:t> </w:t>
      </w:r>
    </w:p>
    <w:p w:rsidR="00F73E49" w:rsidP="00AB4C9D" w:rsidRDefault="00F73E49" w14:paraId="42BB41DB" w14:textId="77777777">
      <w:pPr>
        <w:pStyle w:val="ListParagraph"/>
        <w:numPr>
          <w:ilvl w:val="0"/>
          <w:numId w:val="9"/>
        </w:numPr>
        <w:spacing w:after="120" w:line="276" w:lineRule="auto"/>
        <w:contextualSpacing w:val="0"/>
        <w:jc w:val="both"/>
      </w:pPr>
      <w:r>
        <w:t>An option is provided for respondents to stipulate whether the response is to be treated as anonymous. Note that all responses are published on the DSB website and are not anonymized unless a specific request is made.</w:t>
      </w:r>
    </w:p>
    <w:p w:rsidR="00F73E49" w:rsidP="00AB4C9D" w:rsidRDefault="00F73E49" w14:paraId="24DA3A9D" w14:textId="77777777">
      <w:pPr>
        <w:pStyle w:val="ListParagraph"/>
        <w:numPr>
          <w:ilvl w:val="0"/>
          <w:numId w:val="9"/>
        </w:numPr>
        <w:spacing w:after="120" w:line="276" w:lineRule="auto"/>
        <w:contextualSpacing w:val="0"/>
        <w:jc w:val="both"/>
      </w:pPr>
      <w:r>
        <w:t xml:space="preserve">Respondents are requested to state whether they </w:t>
      </w:r>
      <w:r w:rsidRPr="0048715D">
        <w:t xml:space="preserve">concur with the assumptions and principles set out in the document, or propose alternate evidence driven considerations that they believe should be utilized instead and/or alongside the proposals set out in this paper. </w:t>
      </w:r>
    </w:p>
    <w:p w:rsidR="00F73E49" w:rsidP="00AB4C9D" w:rsidRDefault="00F73E49" w14:paraId="63075A85" w14:textId="77777777">
      <w:pPr>
        <w:pStyle w:val="ListParagraph"/>
        <w:numPr>
          <w:ilvl w:val="0"/>
          <w:numId w:val="9"/>
        </w:numPr>
        <w:spacing w:after="120" w:line="276" w:lineRule="auto"/>
        <w:contextualSpacing w:val="0"/>
        <w:jc w:val="both"/>
      </w:pPr>
      <w:r w:rsidRPr="0048715D">
        <w:t xml:space="preserve">Respondents also can </w:t>
      </w:r>
      <w:r>
        <w:t xml:space="preserve">also </w:t>
      </w:r>
      <w:r w:rsidRPr="0048715D">
        <w:t>provide any general comments in the final section of the response form provided at the end of this paper.</w:t>
      </w:r>
      <w:r>
        <w:t xml:space="preserve"> </w:t>
      </w:r>
    </w:p>
    <w:p w:rsidR="00F73E49" w:rsidP="00AB4C9D" w:rsidRDefault="00F73E49" w14:paraId="2C289714" w14:textId="77777777">
      <w:pPr>
        <w:pStyle w:val="ListParagraph"/>
        <w:numPr>
          <w:ilvl w:val="0"/>
          <w:numId w:val="9"/>
        </w:numPr>
        <w:spacing w:after="120" w:line="276" w:lineRule="auto"/>
        <w:contextualSpacing w:val="0"/>
        <w:jc w:val="both"/>
      </w:pPr>
      <w:r>
        <w:t>The consultation enables the DSB to ensure that the DSB can work to reflect the best target solution sought by industry (within the governance framework of the utility). </w:t>
      </w:r>
    </w:p>
    <w:p w:rsidR="00F73E49" w:rsidP="00AB4C9D" w:rsidRDefault="00F73E49" w14:paraId="2C38B049" w14:textId="77777777">
      <w:pPr>
        <w:pStyle w:val="ListParagraph"/>
        <w:numPr>
          <w:ilvl w:val="0"/>
          <w:numId w:val="9"/>
        </w:numPr>
        <w:spacing w:after="120" w:line="276" w:lineRule="auto"/>
        <w:contextualSpacing w:val="0"/>
        <w:jc w:val="both"/>
      </w:pPr>
      <w:r>
        <w:t xml:space="preserve">As with prior consultations, each organization is permitted a single response.  </w:t>
      </w:r>
    </w:p>
    <w:p w:rsidR="00F73E49" w:rsidP="00AB4C9D" w:rsidRDefault="00F73E49" w14:paraId="15CFA814" w14:textId="77777777">
      <w:pPr>
        <w:pStyle w:val="ListParagraph"/>
        <w:numPr>
          <w:ilvl w:val="0"/>
          <w:numId w:val="9"/>
        </w:numPr>
        <w:spacing w:after="120" w:line="276" w:lineRule="auto"/>
        <w:contextualSpacing w:val="0"/>
        <w:jc w:val="both"/>
      </w:pPr>
      <w:r>
        <w:t xml:space="preserve">Responses should include details of the type of organization responding to the consultation and its current user category to enable the DSB to analyse client needs in more detail and include anonymized statistics as part of the second consultation report.  </w:t>
      </w:r>
    </w:p>
    <w:p w:rsidR="00F73E49" w:rsidP="00AB4C9D" w:rsidRDefault="00F73E49" w14:paraId="5A6FCCA6" w14:textId="77777777">
      <w:pPr>
        <w:pStyle w:val="ListParagraph"/>
        <w:numPr>
          <w:ilvl w:val="0"/>
          <w:numId w:val="9"/>
        </w:numPr>
        <w:spacing w:after="120" w:line="276" w:lineRule="auto"/>
        <w:contextualSpacing w:val="0"/>
        <w:jc w:val="both"/>
      </w:pPr>
      <w:r>
        <w:t>Responses must be received by 5pm UTC on Friday 9</w:t>
      </w:r>
      <w:r w:rsidRPr="00D5504C">
        <w:rPr>
          <w:vertAlign w:val="superscript"/>
        </w:rPr>
        <w:t>th</w:t>
      </w:r>
      <w:r>
        <w:t xml:space="preserve"> July 2021. </w:t>
      </w:r>
    </w:p>
    <w:p w:rsidR="00F73E49" w:rsidP="00AB4C9D" w:rsidRDefault="00F73E49" w14:paraId="0E0ADDCA" w14:textId="77777777">
      <w:pPr>
        <w:spacing w:after="120"/>
        <w:jc w:val="both"/>
      </w:pPr>
    </w:p>
    <w:p w:rsidRPr="00E72F19" w:rsidR="00F73E49" w:rsidP="00F73E49" w:rsidRDefault="00F73E49" w14:paraId="51EB4DEC" w14:textId="77777777">
      <w:pPr>
        <w:pStyle w:val="ETSNORMAL12pt"/>
        <w:spacing w:after="120" w:line="276" w:lineRule="auto"/>
        <w:rPr>
          <w:rFonts w:asciiTheme="minorHAnsi" w:hAnsiTheme="minorHAnsi" w:cstheme="minorHAnsi"/>
          <w:color w:val="0070C0"/>
          <w:sz w:val="26"/>
          <w:szCs w:val="26"/>
        </w:rPr>
      </w:pPr>
      <w:bookmarkStart w:name="_Toc7171256" w:id="628"/>
      <w:bookmarkStart w:name="_Toc8250277" w:id="629"/>
      <w:r>
        <w:rPr>
          <w:rFonts w:asciiTheme="minorHAnsi" w:hAnsiTheme="minorHAnsi" w:cstheme="minorHAnsi"/>
          <w:color w:val="0070C0"/>
        </w:rPr>
        <w:t xml:space="preserve">         </w:t>
      </w:r>
      <w:r w:rsidRPr="000A57BB">
        <w:rPr>
          <w:rFonts w:asciiTheme="minorHAnsi" w:hAnsiTheme="minorHAnsi" w:cstheme="minorHAnsi"/>
          <w:color w:val="0070C0"/>
          <w:sz w:val="26"/>
          <w:szCs w:val="26"/>
        </w:rPr>
        <w:t>Respondent Details</w:t>
      </w:r>
      <w:bookmarkEnd w:id="628"/>
      <w:bookmarkEnd w:id="629"/>
      <w:r w:rsidRPr="00E72F19">
        <w:rPr>
          <w:rFonts w:asciiTheme="minorHAnsi" w:hAnsiTheme="minorHAnsi" w:cstheme="minorHAnsi"/>
          <w:color w:val="0070C0"/>
          <w:sz w:val="26"/>
          <w:szCs w:val="26"/>
        </w:rPr>
        <w:t xml:space="preserve"> </w:t>
      </w:r>
    </w:p>
    <w:tbl>
      <w:tblPr>
        <w:tblStyle w:val="TableGrid"/>
        <w:tblW w:w="9067" w:type="dxa"/>
        <w:tblBorders>
          <w:top w:val="single" w:color="30AEB9" w:sz="4" w:space="0"/>
          <w:left w:val="single" w:color="30AEB9" w:sz="4" w:space="0"/>
          <w:bottom w:val="single" w:color="30AEB9" w:sz="4" w:space="0"/>
          <w:right w:val="single" w:color="30AEB9" w:sz="4" w:space="0"/>
          <w:insideH w:val="single" w:color="30AEB9" w:sz="4" w:space="0"/>
          <w:insideV w:val="single" w:color="30AEB9" w:sz="4" w:space="0"/>
        </w:tblBorders>
        <w:tblLook w:val="04A0" w:firstRow="1" w:lastRow="0" w:firstColumn="1" w:lastColumn="0" w:noHBand="0" w:noVBand="1"/>
      </w:tblPr>
      <w:tblGrid>
        <w:gridCol w:w="3964"/>
        <w:gridCol w:w="5103"/>
      </w:tblGrid>
      <w:tr w:rsidRPr="00C45B29" w:rsidR="00F73E49" w:rsidTr="005D5CA5" w14:paraId="668BD58A" w14:textId="77777777">
        <w:trPr>
          <w:trHeight w:val="567"/>
        </w:trPr>
        <w:tc>
          <w:tcPr>
            <w:tcW w:w="3964" w:type="dxa"/>
            <w:vAlign w:val="center"/>
          </w:tcPr>
          <w:p w:rsidRPr="00C45B29" w:rsidR="00F73E49" w:rsidP="005D5CA5" w:rsidRDefault="00F73E49" w14:paraId="4B1931C6" w14:textId="77777777">
            <w:pPr>
              <w:spacing w:line="276" w:lineRule="auto"/>
              <w:jc w:val="both"/>
              <w:rPr>
                <w:rFonts w:cstheme="minorHAnsi"/>
              </w:rPr>
            </w:pPr>
            <w:r w:rsidRPr="00C45B29">
              <w:rPr>
                <w:rFonts w:cstheme="minorHAnsi"/>
                <w:b/>
              </w:rPr>
              <w:t>Name</w:t>
            </w:r>
          </w:p>
        </w:tc>
        <w:tc>
          <w:tcPr>
            <w:tcW w:w="5103" w:type="dxa"/>
            <w:vAlign w:val="center"/>
          </w:tcPr>
          <w:p w:rsidRPr="00C45B29" w:rsidR="00F73E49" w:rsidP="005D5CA5" w:rsidRDefault="00F73E49" w14:paraId="20974702" w14:textId="77777777">
            <w:pPr>
              <w:spacing w:line="276" w:lineRule="auto"/>
              <w:jc w:val="both"/>
              <w:rPr>
                <w:rFonts w:cstheme="minorHAnsi"/>
              </w:rPr>
            </w:pPr>
          </w:p>
        </w:tc>
      </w:tr>
      <w:tr w:rsidRPr="00C45B29" w:rsidR="00F73E49" w:rsidTr="005D5CA5" w14:paraId="40A80F99" w14:textId="77777777">
        <w:trPr>
          <w:trHeight w:val="567"/>
        </w:trPr>
        <w:tc>
          <w:tcPr>
            <w:tcW w:w="3964" w:type="dxa"/>
            <w:vAlign w:val="center"/>
          </w:tcPr>
          <w:p w:rsidRPr="00DA7FD4" w:rsidR="00F73E49" w:rsidP="005D5CA5" w:rsidRDefault="00F73E49" w14:paraId="1D8C09B8" w14:textId="77777777">
            <w:pPr>
              <w:spacing w:line="276" w:lineRule="auto"/>
              <w:jc w:val="both"/>
              <w:rPr>
                <w:rFonts w:cstheme="minorHAnsi"/>
                <w:b/>
                <w:bCs/>
              </w:rPr>
            </w:pPr>
            <w:r w:rsidRPr="00DA7FD4">
              <w:rPr>
                <w:rFonts w:cstheme="minorHAnsi"/>
                <w:b/>
                <w:bCs/>
              </w:rPr>
              <w:t>Email Address</w:t>
            </w:r>
          </w:p>
        </w:tc>
        <w:tc>
          <w:tcPr>
            <w:tcW w:w="5103" w:type="dxa"/>
            <w:vAlign w:val="center"/>
          </w:tcPr>
          <w:p w:rsidRPr="00C45B29" w:rsidR="00F73E49" w:rsidP="005D5CA5" w:rsidRDefault="00F73E49" w14:paraId="205D919E" w14:textId="77777777">
            <w:pPr>
              <w:spacing w:line="276" w:lineRule="auto"/>
              <w:jc w:val="both"/>
              <w:rPr>
                <w:rFonts w:cstheme="minorHAnsi"/>
              </w:rPr>
            </w:pPr>
          </w:p>
        </w:tc>
      </w:tr>
      <w:tr w:rsidRPr="00C45B29" w:rsidR="00F73E49" w:rsidTr="005D5CA5" w14:paraId="1FC7B5A4" w14:textId="77777777">
        <w:trPr>
          <w:trHeight w:val="567"/>
        </w:trPr>
        <w:tc>
          <w:tcPr>
            <w:tcW w:w="3964" w:type="dxa"/>
            <w:vAlign w:val="center"/>
          </w:tcPr>
          <w:p w:rsidRPr="00DA7FD4" w:rsidR="00F73E49" w:rsidP="005D5CA5" w:rsidRDefault="00F73E49" w14:paraId="0A6B3913" w14:textId="77777777">
            <w:pPr>
              <w:spacing w:line="276" w:lineRule="auto"/>
              <w:jc w:val="both"/>
              <w:rPr>
                <w:rFonts w:cstheme="minorHAnsi"/>
                <w:b/>
                <w:bCs/>
              </w:rPr>
            </w:pPr>
            <w:r w:rsidRPr="00DA7FD4">
              <w:rPr>
                <w:rFonts w:cstheme="minorHAnsi"/>
                <w:b/>
                <w:bCs/>
              </w:rPr>
              <w:t>Company</w:t>
            </w:r>
          </w:p>
        </w:tc>
        <w:tc>
          <w:tcPr>
            <w:tcW w:w="5103" w:type="dxa"/>
            <w:vAlign w:val="center"/>
          </w:tcPr>
          <w:p w:rsidRPr="00C45B29" w:rsidR="00F73E49" w:rsidP="005D5CA5" w:rsidRDefault="00F73E49" w14:paraId="4E79553C" w14:textId="77777777">
            <w:pPr>
              <w:spacing w:line="276" w:lineRule="auto"/>
              <w:jc w:val="both"/>
              <w:rPr>
                <w:rFonts w:cstheme="minorHAnsi"/>
              </w:rPr>
            </w:pPr>
          </w:p>
        </w:tc>
      </w:tr>
      <w:tr w:rsidRPr="00C45B29" w:rsidR="00F73E49" w:rsidTr="005D5CA5" w14:paraId="4BBFA6AC" w14:textId="77777777">
        <w:trPr>
          <w:trHeight w:val="567"/>
        </w:trPr>
        <w:tc>
          <w:tcPr>
            <w:tcW w:w="3964" w:type="dxa"/>
            <w:vAlign w:val="center"/>
          </w:tcPr>
          <w:p w:rsidRPr="00DA7FD4" w:rsidR="00F73E49" w:rsidP="005D5CA5" w:rsidRDefault="00F73E49" w14:paraId="4B901C0F" w14:textId="77777777">
            <w:pPr>
              <w:spacing w:line="276" w:lineRule="auto"/>
              <w:jc w:val="both"/>
              <w:rPr>
                <w:rFonts w:cstheme="minorHAnsi"/>
                <w:b/>
                <w:bCs/>
              </w:rPr>
            </w:pPr>
            <w:r w:rsidRPr="00DA7FD4">
              <w:rPr>
                <w:rFonts w:cstheme="minorHAnsi"/>
                <w:b/>
                <w:bCs/>
              </w:rPr>
              <w:t xml:space="preserve">Country </w:t>
            </w:r>
          </w:p>
        </w:tc>
        <w:tc>
          <w:tcPr>
            <w:tcW w:w="5103" w:type="dxa"/>
            <w:vAlign w:val="center"/>
          </w:tcPr>
          <w:p w:rsidRPr="00C45B29" w:rsidR="00F73E49" w:rsidP="005D5CA5" w:rsidRDefault="00F73E49" w14:paraId="7291503A" w14:textId="77777777">
            <w:pPr>
              <w:spacing w:line="276" w:lineRule="auto"/>
              <w:jc w:val="both"/>
              <w:rPr>
                <w:rFonts w:cstheme="minorHAnsi"/>
              </w:rPr>
            </w:pPr>
          </w:p>
        </w:tc>
      </w:tr>
      <w:tr w:rsidRPr="00C45B29" w:rsidR="00F73E49" w:rsidTr="005D5CA5" w14:paraId="21C979FD" w14:textId="77777777">
        <w:trPr>
          <w:trHeight w:val="567"/>
        </w:trPr>
        <w:tc>
          <w:tcPr>
            <w:tcW w:w="3964" w:type="dxa"/>
            <w:vAlign w:val="center"/>
          </w:tcPr>
          <w:p w:rsidRPr="00DA7FD4" w:rsidR="00F73E49" w:rsidP="005D5CA5" w:rsidRDefault="00F73E49" w14:paraId="1269FA04" w14:textId="77777777">
            <w:pPr>
              <w:spacing w:line="276" w:lineRule="auto"/>
              <w:jc w:val="both"/>
              <w:rPr>
                <w:rFonts w:cstheme="minorHAnsi"/>
                <w:b/>
                <w:bCs/>
              </w:rPr>
            </w:pPr>
            <w:r w:rsidRPr="00DA7FD4">
              <w:rPr>
                <w:rFonts w:cstheme="minorHAnsi"/>
                <w:b/>
                <w:bCs/>
              </w:rPr>
              <w:t>Company Type</w:t>
            </w:r>
          </w:p>
        </w:tc>
        <w:sdt>
          <w:sdtPr>
            <w:rPr>
              <w:rFonts w:cstheme="minorHAnsi"/>
            </w:rPr>
            <w:id w:val="-58944712"/>
            <w:placeholder>
              <w:docPart w:val="C94F4A15E6884F5C8410BB9E7A201508"/>
            </w:placeholder>
            <w:showingPlcHdr/>
            <w:comboBox>
              <w:listItem w:displayText="Approved Publications Arrangement (APA)" w:value="Approved Publications Arrangement (APA)"/>
              <w:listItem w:displayText="Approved Reporting Mechanism (ARM)" w:value="Approved Reporting Mechanism (ARM)"/>
              <w:listItem w:displayText="Broker" w:value="Broker"/>
              <w:listItem w:displayText="Buy Side Investment Firm" w:value="Buy Side Investment Firm"/>
              <w:listItem w:displayText="Clearing House" w:value="Clearing House"/>
              <w:listItem w:displayText="Consultant" w:value="Consultant"/>
              <w:listItem w:displayText="Corporate" w:value="Corporate"/>
              <w:listItem w:displayText="Credit Union" w:value="Credit Union"/>
              <w:listItem w:displayText="Data Vendor" w:value="Data Vendor"/>
              <w:listItem w:displayText="Financial" w:value="Financial"/>
              <w:listItem w:displayText="Individual" w:value="Individual"/>
              <w:listItem w:displayText="Law Firm" w:value="Law Firm"/>
              <w:listItem w:displayText="Multilateral Trading Facility (MTF)" w:value="Multilateral Trading Facility (MTF)"/>
              <w:listItem w:displayText="Organised Trading Facility (OTF)" w:value="Organised Trading Facility (OTF)"/>
              <w:listItem w:displayText="Other" w:value="Other"/>
              <w:listItem w:displayText="Other Intermediary" w:value="Other Intermediary"/>
              <w:listItem w:displayText="Regulated Market" w:value="Regulated Market"/>
              <w:listItem w:displayText="Regulator" w:value="Regulator"/>
              <w:listItem w:displayText="Research Consultancy" w:value="Research Consultancy"/>
              <w:listItem w:displayText="Sell Side Investment firm" w:value="Sell Side Investment firm"/>
              <w:listItem w:displayText="Spread betting firm" w:value="Spread betting firm"/>
              <w:listItem w:displayText="Systematic Internatiliser" w:value="Systematic Internatiliser"/>
              <w:listItem w:displayText="Tech shop" w:value="Tech shop"/>
              <w:listItem w:displayText="Trade Association" w:value="Trade Association"/>
              <w:listItem w:displayText="Wealth Management Services" w:value="Wealth Management Services"/>
            </w:comboBox>
          </w:sdtPr>
          <w:sdtContent>
            <w:tc>
              <w:tcPr>
                <w:tcW w:w="5103" w:type="dxa"/>
                <w:vAlign w:val="center"/>
              </w:tcPr>
              <w:p w:rsidRPr="00C45B29" w:rsidR="00F73E49" w:rsidP="005D5CA5" w:rsidRDefault="00F73E49" w14:paraId="06A923A7" w14:textId="46A1D60E">
                <w:pPr>
                  <w:spacing w:line="276" w:lineRule="auto"/>
                  <w:jc w:val="both"/>
                  <w:rPr>
                    <w:rFonts w:cstheme="minorHAnsi"/>
                  </w:rPr>
                </w:pPr>
                <w:r w:rsidRPr="00C45B29">
                  <w:rPr>
                    <w:rFonts w:cstheme="minorHAnsi"/>
                  </w:rPr>
                  <w:t>Select Type</w:t>
                </w:r>
              </w:p>
            </w:tc>
          </w:sdtContent>
        </w:sdt>
      </w:tr>
      <w:tr w:rsidRPr="00C45B29" w:rsidR="00F73E49" w:rsidTr="005D5CA5" w14:paraId="622D513F" w14:textId="77777777">
        <w:trPr>
          <w:trHeight w:val="567"/>
        </w:trPr>
        <w:tc>
          <w:tcPr>
            <w:tcW w:w="3964" w:type="dxa"/>
            <w:vAlign w:val="center"/>
          </w:tcPr>
          <w:p w:rsidRPr="00DA7FD4" w:rsidR="00F73E49" w:rsidP="005D5CA5" w:rsidRDefault="00F73E49" w14:paraId="49599ADA" w14:textId="77777777">
            <w:pPr>
              <w:spacing w:line="276" w:lineRule="auto"/>
              <w:jc w:val="both"/>
              <w:rPr>
                <w:rFonts w:cstheme="minorHAnsi"/>
                <w:b/>
                <w:bCs/>
              </w:rPr>
            </w:pPr>
            <w:r w:rsidRPr="00DA7FD4">
              <w:rPr>
                <w:rFonts w:cstheme="minorHAnsi"/>
                <w:b/>
                <w:bCs/>
              </w:rPr>
              <w:t>User Type</w:t>
            </w:r>
          </w:p>
        </w:tc>
        <w:sdt>
          <w:sdtPr>
            <w:rPr>
              <w:rFonts w:cstheme="minorHAnsi"/>
            </w:rPr>
            <w:alias w:val="User Type"/>
            <w:tag w:val="User Type"/>
            <w:id w:val="848065618"/>
            <w:placeholder>
              <w:docPart w:val="F1CDE436DE32467194F83E01507DBAC4"/>
            </w:placeholder>
            <w:showingPlcHdr/>
            <w:comboBox>
              <w:listItem w:displayText="Power" w:value="Power"/>
              <w:listItem w:displayText="Standard" w:value="Standard"/>
              <w:listItem w:displayText="Infrequent" w:value="Infrequent"/>
              <w:listItem w:displayText="Registered" w:value="Registered"/>
              <w:listItem w:displayText="Not Registered" w:value="Not Registered"/>
            </w:comboBox>
          </w:sdtPr>
          <w:sdtContent>
            <w:tc>
              <w:tcPr>
                <w:tcW w:w="5103" w:type="dxa"/>
                <w:vAlign w:val="center"/>
              </w:tcPr>
              <w:p w:rsidRPr="00C45B29" w:rsidR="00F73E49" w:rsidP="005D5CA5" w:rsidRDefault="00F73E49" w14:paraId="0D968307" w14:textId="77777777">
                <w:pPr>
                  <w:spacing w:line="276" w:lineRule="auto"/>
                  <w:jc w:val="both"/>
                  <w:rPr>
                    <w:rFonts w:cstheme="minorHAnsi"/>
                  </w:rPr>
                </w:pPr>
                <w:r w:rsidRPr="00C45B29">
                  <w:rPr>
                    <w:rFonts w:cstheme="minorHAnsi"/>
                  </w:rPr>
                  <w:t>Select Type</w:t>
                </w:r>
              </w:p>
            </w:tc>
          </w:sdtContent>
        </w:sdt>
      </w:tr>
      <w:tr w:rsidRPr="00C45B29" w:rsidR="00F73E49" w:rsidTr="005D5CA5" w14:paraId="2436B716" w14:textId="77777777">
        <w:trPr>
          <w:trHeight w:val="567"/>
        </w:trPr>
        <w:tc>
          <w:tcPr>
            <w:tcW w:w="3964" w:type="dxa"/>
            <w:vAlign w:val="center"/>
          </w:tcPr>
          <w:p w:rsidRPr="00DA7FD4" w:rsidR="00F73E49" w:rsidP="005D5CA5" w:rsidRDefault="00F73E49" w14:paraId="7F92D671" w14:textId="77777777">
            <w:pPr>
              <w:spacing w:line="276" w:lineRule="auto"/>
              <w:jc w:val="both"/>
              <w:rPr>
                <w:rFonts w:cstheme="minorHAnsi"/>
                <w:b/>
                <w:bCs/>
              </w:rPr>
            </w:pPr>
            <w:r w:rsidRPr="00DA7FD4">
              <w:rPr>
                <w:rFonts w:cstheme="minorHAnsi"/>
                <w:b/>
                <w:bCs/>
              </w:rPr>
              <w:t>Select if response should be anonymous</w:t>
            </w:r>
          </w:p>
        </w:tc>
        <w:tc>
          <w:tcPr>
            <w:tcW w:w="5103" w:type="dxa"/>
            <w:vAlign w:val="center"/>
          </w:tcPr>
          <w:p w:rsidRPr="00C45B29" w:rsidR="00F73E49" w:rsidP="005D5CA5" w:rsidRDefault="00F73E49" w14:paraId="3F39B738" w14:textId="77777777">
            <w:pPr>
              <w:spacing w:line="276" w:lineRule="auto"/>
              <w:jc w:val="both"/>
              <w:rPr>
                <w:rFonts w:cstheme="minorHAnsi"/>
              </w:rPr>
            </w:pPr>
            <w:r w:rsidRPr="00C45B29">
              <w:rPr>
                <w:rFonts w:ascii="Segoe UI Symbol" w:hAnsi="Segoe UI Symbol" w:cs="Segoe UI Symbol"/>
                <w:color w:val="000000"/>
              </w:rPr>
              <w:t>☐</w:t>
            </w:r>
          </w:p>
        </w:tc>
      </w:tr>
    </w:tbl>
    <w:p w:rsidR="00F73E49" w:rsidP="00AB4C9D" w:rsidRDefault="00F73E49" w14:paraId="621A955E" w14:textId="77777777">
      <w:pPr>
        <w:rPr>
          <w:rFonts w:asciiTheme="majorHAnsi" w:hAnsiTheme="majorHAnsi" w:eastAsiaTheme="majorEastAsia" w:cstheme="majorBidi"/>
          <w:color w:val="365F91" w:themeColor="accent1" w:themeShade="BF"/>
          <w:sz w:val="32"/>
          <w:szCs w:val="32"/>
        </w:rPr>
      </w:pPr>
    </w:p>
    <w:tbl>
      <w:tblPr>
        <w:tblStyle w:val="TableGrid"/>
        <w:tblW w:w="0" w:type="auto"/>
        <w:tblBorders>
          <w:top w:val="single" w:color="30AEB9" w:sz="4" w:space="0"/>
          <w:left w:val="single" w:color="30AEB9" w:sz="4" w:space="0"/>
          <w:bottom w:val="single" w:color="30AEB9" w:sz="4" w:space="0"/>
          <w:right w:val="single" w:color="30AEB9" w:sz="4" w:space="0"/>
          <w:insideH w:val="single" w:color="30AEB9" w:sz="4" w:space="0"/>
          <w:insideV w:val="single" w:color="30AEB9" w:sz="4" w:space="0"/>
        </w:tblBorders>
        <w:tblLook w:val="04A0" w:firstRow="1" w:lastRow="0" w:firstColumn="1" w:lastColumn="0" w:noHBand="0" w:noVBand="1"/>
      </w:tblPr>
      <w:tblGrid>
        <w:gridCol w:w="704"/>
        <w:gridCol w:w="3827"/>
        <w:gridCol w:w="4395"/>
      </w:tblGrid>
      <w:tr w:rsidRPr="00DB7576" w:rsidR="00F73E49" w:rsidTr="005D5CA5" w14:paraId="75C69822" w14:textId="77777777">
        <w:trPr>
          <w:trHeight w:val="567"/>
          <w:tblHeader/>
        </w:trPr>
        <w:tc>
          <w:tcPr>
            <w:tcW w:w="704" w:type="dxa"/>
            <w:shd w:val="clear" w:color="auto" w:fill="30AEB9"/>
            <w:vAlign w:val="center"/>
          </w:tcPr>
          <w:p w:rsidRPr="00DB7576" w:rsidR="00F73E49" w:rsidP="005D5CA5" w:rsidRDefault="00F73E49" w14:paraId="30E110D7" w14:textId="77777777">
            <w:pPr>
              <w:spacing w:line="276" w:lineRule="auto"/>
              <w:jc w:val="center"/>
              <w:rPr>
                <w:rFonts w:cstheme="minorHAnsi"/>
                <w:b/>
                <w:bCs/>
                <w:color w:val="FFFFFF" w:themeColor="background1"/>
              </w:rPr>
            </w:pPr>
            <w:r w:rsidRPr="00DB7576">
              <w:rPr>
                <w:rFonts w:cstheme="minorHAnsi"/>
                <w:b/>
                <w:bCs/>
                <w:color w:val="FFFFFF" w:themeColor="background1"/>
              </w:rPr>
              <w:t>Q#</w:t>
            </w:r>
          </w:p>
        </w:tc>
        <w:tc>
          <w:tcPr>
            <w:tcW w:w="3827" w:type="dxa"/>
            <w:shd w:val="clear" w:color="auto" w:fill="30AEB9"/>
            <w:vAlign w:val="center"/>
          </w:tcPr>
          <w:p w:rsidRPr="00DB7576" w:rsidR="00F73E49" w:rsidP="005D5CA5" w:rsidRDefault="00F73E49" w14:paraId="454FCBD7" w14:textId="77777777">
            <w:pPr>
              <w:spacing w:line="276" w:lineRule="auto"/>
              <w:rPr>
                <w:rFonts w:cstheme="minorHAnsi"/>
                <w:b/>
                <w:bCs/>
                <w:color w:val="FFFFFF" w:themeColor="background1"/>
              </w:rPr>
            </w:pPr>
            <w:r w:rsidRPr="00DB7576">
              <w:rPr>
                <w:rFonts w:cstheme="minorHAnsi"/>
                <w:b/>
                <w:bCs/>
                <w:color w:val="FFFFFF" w:themeColor="background1"/>
              </w:rPr>
              <w:t>Question</w:t>
            </w:r>
          </w:p>
        </w:tc>
        <w:tc>
          <w:tcPr>
            <w:tcW w:w="4395" w:type="dxa"/>
            <w:shd w:val="clear" w:color="auto" w:fill="30AEB9"/>
            <w:vAlign w:val="center"/>
          </w:tcPr>
          <w:p w:rsidRPr="00DB7576" w:rsidR="00F73E49" w:rsidP="005D5CA5" w:rsidRDefault="00F73E49" w14:paraId="214BD8BD" w14:textId="77777777">
            <w:pPr>
              <w:spacing w:line="276" w:lineRule="auto"/>
              <w:rPr>
                <w:rFonts w:cstheme="minorHAnsi"/>
                <w:b/>
                <w:bCs/>
                <w:color w:val="FFFFFF" w:themeColor="background1"/>
              </w:rPr>
            </w:pPr>
            <w:r w:rsidRPr="00DB7576">
              <w:rPr>
                <w:rFonts w:cstheme="minorHAnsi"/>
                <w:b/>
                <w:bCs/>
                <w:color w:val="FFFFFF" w:themeColor="background1"/>
              </w:rPr>
              <w:t>Response</w:t>
            </w:r>
          </w:p>
        </w:tc>
      </w:tr>
      <w:tr w:rsidRPr="00DB7576" w:rsidR="00DE1710" w:rsidTr="005D5CA5" w14:paraId="6673F377" w14:textId="77777777">
        <w:trPr>
          <w:trHeight w:val="567"/>
        </w:trPr>
        <w:tc>
          <w:tcPr>
            <w:tcW w:w="704" w:type="dxa"/>
            <w:vAlign w:val="center"/>
          </w:tcPr>
          <w:p w:rsidR="00DE1710" w:rsidP="005D5CA5" w:rsidRDefault="00DE1710" w14:paraId="3CD9EFB8" w14:textId="5492EB61">
            <w:pPr>
              <w:jc w:val="center"/>
              <w:rPr>
                <w:rFonts w:cstheme="minorHAnsi"/>
              </w:rPr>
            </w:pPr>
            <w:r>
              <w:rPr>
                <w:rFonts w:cstheme="minorHAnsi"/>
              </w:rPr>
              <w:t>1</w:t>
            </w:r>
          </w:p>
        </w:tc>
        <w:tc>
          <w:tcPr>
            <w:tcW w:w="3827" w:type="dxa"/>
            <w:vAlign w:val="center"/>
          </w:tcPr>
          <w:p w:rsidR="00A33604" w:rsidP="00A33604" w:rsidRDefault="00A33604" w14:paraId="797D7912" w14:textId="77777777">
            <w:pPr>
              <w:pStyle w:val="paragraph"/>
              <w:spacing w:before="240" w:beforeAutospacing="0" w:after="12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Calibri" w:hAnsi="Calibri" w:cs="Calibri"/>
                <w:b/>
                <w:color w:val="000000"/>
                <w:sz w:val="22"/>
                <w:szCs w:val="22"/>
              </w:rPr>
              <w:t>Summary</w:t>
            </w:r>
            <w:r w:rsidRPr="0076032B">
              <w:rPr>
                <w:rStyle w:val="normaltextrun"/>
                <w:rFonts w:asciiTheme="minorHAnsi" w:hAnsiTheme="minorHAnsi" w:cstheme="minorHAnsi"/>
                <w:b/>
                <w:color w:val="000000"/>
                <w:sz w:val="22"/>
                <w:szCs w:val="22"/>
              </w:rPr>
              <w:t xml:space="preserve">: </w:t>
            </w:r>
            <w:r>
              <w:rPr>
                <w:rStyle w:val="normaltextrun"/>
                <w:rFonts w:asciiTheme="minorHAnsi" w:hAnsiTheme="minorHAnsi" w:cstheme="minorHAnsi"/>
                <w:bCs/>
                <w:color w:val="000000"/>
                <w:sz w:val="22"/>
                <w:szCs w:val="22"/>
              </w:rPr>
              <w:t xml:space="preserve">The DSB has revised the estimated number of paid users as a result of industry feedback on a query about the target service model, specifically about the timing of free-to-use downloadable delta files, which have been requested at an earlier point in time. The anticipated number of organizations expected to use the DSB’s UPI service is expected to lie in the range between those previously forecast, and a lower range that more closely mirrors existing user interaction patterns. </w:t>
            </w:r>
          </w:p>
          <w:p w:rsidR="00A33604" w:rsidP="00A33604" w:rsidRDefault="00A33604" w14:paraId="5D9A9FA6" w14:textId="77777777">
            <w:pPr>
              <w:pStyle w:val="paragraph"/>
              <w:spacing w:before="240" w:beforeAutospacing="0" w:after="12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The lower threshold therefore shows:</w:t>
            </w:r>
          </w:p>
          <w:p w:rsidRPr="003F5F8A" w:rsidR="00A33604" w:rsidP="00A33604" w:rsidRDefault="00A33604" w14:paraId="0FEB83BE" w14:textId="77777777">
            <w:pPr>
              <w:pStyle w:val="ListParagraph"/>
              <w:numPr>
                <w:ilvl w:val="0"/>
                <w:numId w:val="11"/>
              </w:numPr>
              <w:spacing w:line="276" w:lineRule="auto"/>
              <w:jc w:val="both"/>
            </w:pPr>
            <w:r>
              <w:t>511</w:t>
            </w:r>
            <w:r w:rsidRPr="003F5F8A">
              <w:t xml:space="preserve"> </w:t>
            </w:r>
            <w:r>
              <w:t xml:space="preserve">organizations representing 3.4k legal entities </w:t>
            </w:r>
            <w:r w:rsidRPr="003F5F8A">
              <w:t xml:space="preserve">will pay to connect programmatically </w:t>
            </w:r>
            <w:r>
              <w:t xml:space="preserve">to create and/or search for UPI records </w:t>
            </w:r>
          </w:p>
          <w:p w:rsidR="00A33604" w:rsidP="00A33604" w:rsidRDefault="00A33604" w14:paraId="5929BABB" w14:textId="77777777">
            <w:pPr>
              <w:pStyle w:val="ListParagraph"/>
              <w:numPr>
                <w:ilvl w:val="0"/>
                <w:numId w:val="11"/>
              </w:numPr>
              <w:spacing w:line="276" w:lineRule="auto"/>
              <w:jc w:val="both"/>
            </w:pPr>
            <w:r>
              <w:t xml:space="preserve">2,437 organizations representing 16.3k legal entities </w:t>
            </w:r>
            <w:r w:rsidRPr="003F5F8A">
              <w:t xml:space="preserve">will pay to connect manually </w:t>
            </w:r>
            <w:r>
              <w:t xml:space="preserve">to create UPI records </w:t>
            </w:r>
          </w:p>
          <w:p w:rsidR="00A33604" w:rsidP="00A33604" w:rsidRDefault="00A33604" w14:paraId="30ED864E" w14:textId="77777777">
            <w:pPr>
              <w:pStyle w:val="ListParagraph"/>
              <w:numPr>
                <w:ilvl w:val="0"/>
                <w:numId w:val="11"/>
              </w:numPr>
              <w:spacing w:after="0" w:line="276" w:lineRule="auto"/>
              <w:jc w:val="both"/>
            </w:pPr>
            <w:r>
              <w:t xml:space="preserve">17,200 organizations representing 115k legal entities will connect free of cost to search for and/or download UPI records </w:t>
            </w:r>
          </w:p>
          <w:p w:rsidR="00A33604" w:rsidP="00A33604" w:rsidRDefault="00A33604" w14:paraId="2346272B" w14:textId="77777777">
            <w:pPr>
              <w:spacing w:after="240"/>
              <w:ind w:left="357"/>
              <w:jc w:val="both"/>
            </w:pPr>
            <w:r>
              <w:t xml:space="preserve">i.e. approximately 20,200 entity groups representing 135,000 organizations that currently report data to trade repositories </w:t>
            </w:r>
          </w:p>
          <w:p w:rsidR="00A33604" w:rsidP="00A33604" w:rsidRDefault="00A33604" w14:paraId="55596560" w14:textId="77777777">
            <w:pPr>
              <w:jc w:val="both"/>
            </w:pPr>
            <w:r>
              <w:t>The upper bound of user estimates as in line with the proposal set out in the earlier prior consultation paper, and with which industry appears to be comfortable:</w:t>
            </w:r>
          </w:p>
          <w:p w:rsidRPr="003F5F8A" w:rsidR="00A33604" w:rsidP="00A33604" w:rsidRDefault="00A33604" w14:paraId="6192FC06" w14:textId="77777777">
            <w:pPr>
              <w:pStyle w:val="ListParagraph"/>
              <w:numPr>
                <w:ilvl w:val="0"/>
                <w:numId w:val="11"/>
              </w:numPr>
              <w:spacing w:line="276" w:lineRule="auto"/>
              <w:jc w:val="both"/>
            </w:pPr>
            <w:r w:rsidRPr="003F5F8A">
              <w:t xml:space="preserve">12,000 organizations representing 80.5k legal entities will pay to connect programmatically </w:t>
            </w:r>
          </w:p>
          <w:p w:rsidR="00A33604" w:rsidP="00A33604" w:rsidRDefault="00A33604" w14:paraId="5EDB5E73" w14:textId="77777777">
            <w:pPr>
              <w:pStyle w:val="ListParagraph"/>
              <w:numPr>
                <w:ilvl w:val="0"/>
                <w:numId w:val="11"/>
              </w:numPr>
              <w:spacing w:line="276" w:lineRule="auto"/>
              <w:jc w:val="both"/>
            </w:pPr>
            <w:r w:rsidRPr="003F5F8A">
              <w:t xml:space="preserve">8,000 organizations representing 53k legal entities will pay to connect manually </w:t>
            </w:r>
          </w:p>
          <w:p w:rsidRPr="003F5F8A" w:rsidR="00A33604" w:rsidP="00A33604" w:rsidRDefault="00A33604" w14:paraId="20C34DAD" w14:textId="77777777">
            <w:pPr>
              <w:pStyle w:val="ListParagraph"/>
              <w:numPr>
                <w:ilvl w:val="0"/>
                <w:numId w:val="11"/>
              </w:numPr>
              <w:spacing w:line="276" w:lineRule="auto"/>
              <w:jc w:val="both"/>
            </w:pPr>
            <w:r>
              <w:t xml:space="preserve">20,000 organizations representing 133.5k legal entities will connect free of cost  </w:t>
            </w:r>
          </w:p>
          <w:p w:rsidRPr="003F5F8A" w:rsidR="00A33604" w:rsidP="00A33604" w:rsidRDefault="00A33604" w14:paraId="7F87AEE6" w14:textId="77777777">
            <w:pPr>
              <w:jc w:val="both"/>
            </w:pPr>
          </w:p>
          <w:p w:rsidR="00A33604" w:rsidP="00A33604" w:rsidRDefault="00A33604" w14:paraId="134DB195" w14:textId="77777777">
            <w:pPr>
              <w:jc w:val="both"/>
              <w:rPr>
                <w:rStyle w:val="normaltextrun"/>
                <w:rFonts w:cstheme="minorHAnsi"/>
                <w:b/>
                <w:i/>
                <w:color w:val="000000"/>
              </w:rPr>
            </w:pPr>
            <w:r w:rsidRPr="009D3DF4">
              <w:rPr>
                <w:rStyle w:val="normaltextrun"/>
                <w:rFonts w:cstheme="minorHAnsi"/>
                <w:b/>
                <w:i/>
                <w:color w:val="000000"/>
              </w:rPr>
              <w:t xml:space="preserve">Question 1a: </w:t>
            </w:r>
            <w:r w:rsidRPr="00E63BBE">
              <w:rPr>
                <w:rStyle w:val="normaltextrun"/>
                <w:rFonts w:cstheme="minorHAnsi"/>
                <w:b/>
                <w:i/>
                <w:color w:val="000000"/>
              </w:rPr>
              <w:t xml:space="preserve">Do you concur with </w:t>
            </w:r>
            <w:r>
              <w:rPr>
                <w:rStyle w:val="normaltextrun"/>
                <w:rFonts w:cstheme="minorHAnsi"/>
                <w:b/>
                <w:i/>
                <w:color w:val="000000"/>
              </w:rPr>
              <w:t xml:space="preserve">the projected user estimates? </w:t>
            </w:r>
          </w:p>
          <w:p w:rsidR="00E26E24" w:rsidP="00A33604" w:rsidRDefault="00E26E24" w14:paraId="1D0F2D7F" w14:textId="77777777">
            <w:pPr>
              <w:jc w:val="both"/>
              <w:rPr>
                <w:rStyle w:val="normaltextrun"/>
                <w:rFonts w:cstheme="minorHAnsi"/>
                <w:b/>
                <w:i/>
                <w:color w:val="000000"/>
              </w:rPr>
            </w:pPr>
          </w:p>
          <w:p w:rsidRPr="00E63BBE" w:rsidR="00A33604" w:rsidP="00A33604" w:rsidRDefault="00A33604" w14:paraId="26A256B4" w14:textId="77777777">
            <w:pPr>
              <w:jc w:val="both"/>
              <w:rPr>
                <w:rStyle w:val="normaltextrun"/>
                <w:rFonts w:cstheme="minorHAnsi"/>
                <w:b/>
                <w:i/>
                <w:color w:val="000000"/>
              </w:rPr>
            </w:pPr>
            <w:r w:rsidRPr="009D3DF4">
              <w:rPr>
                <w:rStyle w:val="normaltextrun"/>
                <w:rFonts w:cstheme="minorHAnsi"/>
                <w:b/>
                <w:i/>
                <w:color w:val="000000"/>
              </w:rPr>
              <w:t xml:space="preserve">Question 1b: </w:t>
            </w:r>
            <w:r w:rsidRPr="00E63BBE">
              <w:rPr>
                <w:rStyle w:val="normaltextrun"/>
                <w:rFonts w:cstheme="minorHAnsi"/>
                <w:b/>
                <w:i/>
                <w:color w:val="000000"/>
              </w:rPr>
              <w:t xml:space="preserve">If not, what specific alternate approach do you recommend? Please provide a clear rationale and cite publicly available sources for any additional data points you believe should be incorporated into the DSB’s assumptions.  </w:t>
            </w:r>
          </w:p>
          <w:p w:rsidRPr="00DB7576" w:rsidR="00DE1710" w:rsidP="005D5CA5" w:rsidRDefault="00DE1710" w14:paraId="0FCE42FC" w14:textId="77777777">
            <w:pPr>
              <w:rPr>
                <w:rStyle w:val="eop"/>
                <w:rFonts w:cstheme="minorHAnsi"/>
              </w:rPr>
            </w:pPr>
          </w:p>
        </w:tc>
        <w:tc>
          <w:tcPr>
            <w:tcW w:w="4395" w:type="dxa"/>
            <w:vAlign w:val="center"/>
          </w:tcPr>
          <w:p w:rsidRPr="00DB7576" w:rsidR="00DE1710" w:rsidP="005D5CA5" w:rsidRDefault="00DE1710" w14:paraId="76EC688D" w14:textId="77777777">
            <w:pPr>
              <w:rPr>
                <w:rFonts w:cstheme="minorHAnsi"/>
              </w:rPr>
            </w:pPr>
          </w:p>
        </w:tc>
      </w:tr>
      <w:tr w:rsidRPr="00DB7576" w:rsidR="00DE1710" w:rsidTr="005D5CA5" w14:paraId="4808E11D" w14:textId="77777777">
        <w:trPr>
          <w:trHeight w:val="567"/>
        </w:trPr>
        <w:tc>
          <w:tcPr>
            <w:tcW w:w="704" w:type="dxa"/>
            <w:vAlign w:val="center"/>
          </w:tcPr>
          <w:p w:rsidR="00DE1710" w:rsidP="005D5CA5" w:rsidRDefault="00DE1710" w14:paraId="0CC72A68" w14:textId="235CC347">
            <w:pPr>
              <w:jc w:val="center"/>
              <w:rPr>
                <w:rFonts w:cstheme="minorHAnsi"/>
              </w:rPr>
            </w:pPr>
            <w:r>
              <w:rPr>
                <w:rFonts w:cstheme="minorHAnsi"/>
              </w:rPr>
              <w:t>2</w:t>
            </w:r>
          </w:p>
        </w:tc>
        <w:tc>
          <w:tcPr>
            <w:tcW w:w="3827" w:type="dxa"/>
            <w:vAlign w:val="center"/>
          </w:tcPr>
          <w:p w:rsidR="00A33604" w:rsidP="00A33604" w:rsidRDefault="00A33604" w14:paraId="607171CD" w14:textId="77777777">
            <w:pPr>
              <w:pStyle w:val="paragraph"/>
              <w:spacing w:before="240" w:beforeAutospacing="0" w:after="120" w:afterAutospacing="0" w:line="276" w:lineRule="auto"/>
              <w:jc w:val="both"/>
              <w:textAlignment w:val="baseline"/>
              <w:rPr>
                <w:rStyle w:val="normaltextrun"/>
                <w:rFonts w:ascii="Calibri" w:hAnsi="Calibri" w:cs="Calibri"/>
                <w:bCs/>
                <w:color w:val="000000"/>
                <w:sz w:val="22"/>
                <w:szCs w:val="22"/>
              </w:rPr>
            </w:pPr>
            <w:r w:rsidRPr="000B0101">
              <w:rPr>
                <w:rStyle w:val="normaltextrun"/>
                <w:rFonts w:ascii="Calibri" w:hAnsi="Calibri" w:cs="Calibri"/>
                <w:b/>
                <w:bCs/>
                <w:color w:val="000000"/>
                <w:sz w:val="22"/>
                <w:szCs w:val="22"/>
              </w:rPr>
              <w:t>Summary</w:t>
            </w:r>
            <w:r w:rsidRPr="000B0101">
              <w:rPr>
                <w:rStyle w:val="normaltextrun"/>
                <w:rFonts w:ascii="Calibri" w:hAnsi="Calibri" w:cs="Calibri"/>
                <w:b/>
                <w:color w:val="000000"/>
                <w:sz w:val="22"/>
                <w:szCs w:val="22"/>
              </w:rPr>
              <w:t xml:space="preserve">: </w:t>
            </w:r>
            <w:r w:rsidRPr="000B0101">
              <w:rPr>
                <w:rStyle w:val="normaltextrun"/>
                <w:rFonts w:ascii="Calibri" w:hAnsi="Calibri" w:cs="Calibri"/>
                <w:bCs/>
                <w:color w:val="000000"/>
                <w:sz w:val="22"/>
                <w:szCs w:val="22"/>
              </w:rPr>
              <w:t xml:space="preserve">The DSB </w:t>
            </w:r>
            <w:r>
              <w:rPr>
                <w:rStyle w:val="normaltextrun"/>
                <w:rFonts w:ascii="Calibri" w:hAnsi="Calibri" w:cs="Calibri"/>
                <w:bCs/>
                <w:color w:val="000000"/>
                <w:sz w:val="22"/>
                <w:szCs w:val="22"/>
              </w:rPr>
              <w:t xml:space="preserve">is evaluating the additional data access mechanisms requested by respondents to the first consultation and proposes to follow up with feedback from the DSB Technology Advisory Committee (TAC) once their review has completed, with an update to be provided in the UPI Consultation Final Report. </w:t>
            </w:r>
          </w:p>
          <w:p w:rsidRPr="00470DF3" w:rsidR="00A33604" w:rsidP="00A33604" w:rsidRDefault="00A33604" w14:paraId="7B27ABE5" w14:textId="77777777">
            <w:pPr>
              <w:pStyle w:val="paragraph"/>
              <w:spacing w:before="0" w:beforeAutospacing="0" w:after="120" w:afterAutospacing="0" w:line="276" w:lineRule="auto"/>
              <w:jc w:val="both"/>
              <w:textAlignment w:val="baseline"/>
              <w:rPr>
                <w:rStyle w:val="normaltextrun"/>
                <w:rFonts w:ascii="Calibri" w:hAnsi="Calibri" w:cs="Calibri"/>
                <w:bCs/>
                <w:color w:val="000000"/>
                <w:sz w:val="22"/>
                <w:szCs w:val="22"/>
              </w:rPr>
            </w:pPr>
            <w:r>
              <w:rPr>
                <w:rStyle w:val="normaltextrun"/>
                <w:rFonts w:ascii="Calibri" w:hAnsi="Calibri" w:cs="Calibri"/>
                <w:bCs/>
                <w:color w:val="000000"/>
                <w:sz w:val="22"/>
                <w:szCs w:val="22"/>
              </w:rPr>
              <w:t xml:space="preserve">At this time the DSB believes that users will be able to access the UPI service using one or more </w:t>
            </w:r>
            <w:r w:rsidRPr="00470DF3">
              <w:rPr>
                <w:rStyle w:val="normaltextrun"/>
                <w:rFonts w:ascii="Calibri" w:hAnsi="Calibri" w:cs="Calibri"/>
                <w:bCs/>
                <w:color w:val="000000"/>
                <w:sz w:val="22"/>
                <w:szCs w:val="22"/>
              </w:rPr>
              <w:t xml:space="preserve">of the following mechanisms: </w:t>
            </w:r>
          </w:p>
          <w:p w:rsidRPr="008E271F" w:rsidR="00A33604" w:rsidP="00A33604" w:rsidRDefault="00A33604" w14:paraId="3BFA7C02" w14:textId="77777777">
            <w:pPr>
              <w:jc w:val="both"/>
              <w:rPr>
                <w:rStyle w:val="normaltextrun"/>
                <w:rFonts w:ascii="Times New Roman" w:hAnsi="Times New Roman" w:cstheme="minorHAnsi"/>
                <w:bCs/>
                <w:color w:val="000000"/>
                <w:sz w:val="24"/>
                <w:szCs w:val="24"/>
                <w:lang w:val="en-GB" w:eastAsia="en-GB"/>
              </w:rPr>
            </w:pPr>
            <w:r>
              <w:rPr>
                <w:rStyle w:val="normaltextrun"/>
                <w:rFonts w:cstheme="minorHAnsi"/>
                <w:bCs/>
                <w:color w:val="000000"/>
              </w:rPr>
              <w:t>Fee Paying:</w:t>
            </w:r>
          </w:p>
          <w:p w:rsidRPr="008C726A" w:rsidR="00A33604" w:rsidP="00A33604" w:rsidRDefault="00A33604" w14:paraId="13743078" w14:textId="77777777">
            <w:pPr>
              <w:pStyle w:val="paragraph"/>
              <w:numPr>
                <w:ilvl w:val="0"/>
                <w:numId w:val="44"/>
              </w:numPr>
              <w:spacing w:before="0" w:beforeAutospacing="0" w:after="0" w:afterAutospacing="0" w:line="276" w:lineRule="auto"/>
              <w:jc w:val="both"/>
              <w:textAlignment w:val="baseline"/>
              <w:rPr>
                <w:rStyle w:val="normaltextrun"/>
                <w:rFonts w:asciiTheme="minorHAnsi" w:hAnsiTheme="minorHAnsi" w:eastAsiaTheme="minorEastAsia" w:cstheme="minorHAnsi"/>
                <w:bCs/>
                <w:color w:val="000000"/>
                <w:sz w:val="22"/>
                <w:szCs w:val="22"/>
                <w:lang w:val="en-US" w:eastAsia="en-US"/>
              </w:rPr>
            </w:pPr>
            <w:r w:rsidRPr="00C11FE7">
              <w:rPr>
                <w:rStyle w:val="normaltextrun"/>
                <w:rFonts w:asciiTheme="minorHAnsi" w:hAnsiTheme="minorHAnsi" w:cstheme="minorHAnsi"/>
                <w:bCs/>
                <w:color w:val="000000"/>
                <w:sz w:val="22"/>
                <w:szCs w:val="22"/>
              </w:rPr>
              <w:t>Power User</w:t>
            </w:r>
            <w:r w:rsidRPr="008C726A">
              <w:rPr>
                <w:rStyle w:val="normaltextrun"/>
                <w:rFonts w:asciiTheme="minorHAnsi" w:hAnsiTheme="minorHAnsi" w:cstheme="minorHAnsi"/>
                <w:bCs/>
                <w:color w:val="000000"/>
                <w:sz w:val="22"/>
                <w:szCs w:val="22"/>
              </w:rPr>
              <w:t xml:space="preserve"> - Full Programmatic Access - Programmatically connect to create, search for and download data</w:t>
            </w:r>
            <w:r w:rsidRPr="008C726A" w:rsidDel="00364734">
              <w:rPr>
                <w:rStyle w:val="normaltextrun"/>
                <w:rFonts w:asciiTheme="minorHAnsi" w:hAnsiTheme="minorHAnsi" w:cstheme="minorHAnsi"/>
                <w:bCs/>
                <w:color w:val="000000"/>
                <w:sz w:val="22"/>
                <w:szCs w:val="22"/>
              </w:rPr>
              <w:t xml:space="preserve"> </w:t>
            </w:r>
          </w:p>
          <w:p w:rsidRPr="00364734" w:rsidR="00A33604" w:rsidP="00A33604" w:rsidRDefault="00A33604" w14:paraId="6B7439F7" w14:textId="77777777">
            <w:pPr>
              <w:pStyle w:val="paragraph"/>
              <w:numPr>
                <w:ilvl w:val="0"/>
                <w:numId w:val="44"/>
              </w:numPr>
              <w:spacing w:before="0" w:beforeAutospacing="0" w:after="0" w:afterAutospacing="0" w:line="276" w:lineRule="auto"/>
              <w:ind w:left="714" w:hanging="357"/>
              <w:jc w:val="both"/>
              <w:textAlignment w:val="baseline"/>
              <w:rPr>
                <w:rStyle w:val="normaltextrun"/>
                <w:rFonts w:asciiTheme="minorHAnsi" w:hAnsiTheme="minorHAnsi" w:cstheme="minorHAnsi"/>
                <w:bCs/>
                <w:color w:val="000000"/>
                <w:sz w:val="22"/>
                <w:szCs w:val="22"/>
              </w:rPr>
            </w:pPr>
            <w:r w:rsidRPr="00364734">
              <w:rPr>
                <w:rStyle w:val="normaltextrun"/>
                <w:rFonts w:asciiTheme="minorHAnsi" w:hAnsiTheme="minorHAnsi" w:cstheme="minorHAnsi"/>
                <w:bCs/>
                <w:color w:val="000000"/>
                <w:sz w:val="22"/>
                <w:szCs w:val="22"/>
              </w:rPr>
              <w:t>Search-only API User - Limited Programmatic Access - Programmatically connect to search at a lower volume threshold than permitted for a Power User</w:t>
            </w:r>
          </w:p>
          <w:p w:rsidR="00A33604" w:rsidP="00A33604" w:rsidRDefault="00A33604" w14:paraId="64E0B8C8" w14:textId="77777777">
            <w:pPr>
              <w:pStyle w:val="paragraph"/>
              <w:numPr>
                <w:ilvl w:val="0"/>
                <w:numId w:val="44"/>
              </w:numPr>
              <w:spacing w:before="0" w:beforeAutospacing="0" w:after="0" w:afterAutospacing="0" w:line="276" w:lineRule="auto"/>
              <w:ind w:left="714" w:hanging="357"/>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Standard User - </w:t>
            </w:r>
            <w:r w:rsidRPr="00A73418">
              <w:rPr>
                <w:rStyle w:val="normaltextrun"/>
                <w:rFonts w:asciiTheme="minorHAnsi" w:hAnsiTheme="minorHAnsi" w:cstheme="minorHAnsi"/>
                <w:bCs/>
                <w:color w:val="000000"/>
                <w:sz w:val="22"/>
                <w:szCs w:val="22"/>
              </w:rPr>
              <w:t>Manual Access - Manually connect to create, search for and download data</w:t>
            </w:r>
            <w:r>
              <w:rPr>
                <w:rStyle w:val="normaltextrun"/>
                <w:rFonts w:asciiTheme="minorHAnsi" w:hAnsiTheme="minorHAnsi" w:cstheme="minorHAnsi"/>
                <w:bCs/>
                <w:color w:val="000000"/>
                <w:sz w:val="22"/>
                <w:szCs w:val="22"/>
              </w:rPr>
              <w:t xml:space="preserve"> </w:t>
            </w:r>
          </w:p>
          <w:p w:rsidR="00A33604" w:rsidP="00A33604" w:rsidRDefault="00A33604" w14:paraId="1C1DBAD5" w14:textId="77777777">
            <w:pPr>
              <w:pStyle w:val="paragraph"/>
              <w:numPr>
                <w:ilvl w:val="0"/>
                <w:numId w:val="44"/>
              </w:numPr>
              <w:spacing w:before="0" w:beforeAutospacing="0" w:after="0" w:afterAutospacing="0" w:line="276" w:lineRule="auto"/>
              <w:ind w:left="714" w:hanging="357"/>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Infrequent User - </w:t>
            </w:r>
            <w:r w:rsidRPr="00A73418">
              <w:rPr>
                <w:rStyle w:val="normaltextrun"/>
                <w:rFonts w:asciiTheme="minorHAnsi" w:hAnsiTheme="minorHAnsi" w:cstheme="minorHAnsi"/>
                <w:bCs/>
                <w:color w:val="000000"/>
                <w:sz w:val="22"/>
                <w:szCs w:val="22"/>
              </w:rPr>
              <w:t>Manual Access - Manually connect to create, search for and download data, at a lower volume threshold than permitted for a Standard User</w:t>
            </w:r>
          </w:p>
          <w:p w:rsidRPr="008E271F" w:rsidR="00A33604" w:rsidP="00A33604" w:rsidRDefault="00A33604" w14:paraId="3B953F9E" w14:textId="77777777">
            <w:pPr>
              <w:pStyle w:val="paragraph"/>
              <w:spacing w:before="120" w:beforeAutospacing="0" w:after="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Non-Fee Paying:</w:t>
            </w:r>
          </w:p>
          <w:p w:rsidRPr="008E271F" w:rsidR="00A33604" w:rsidP="00A33604" w:rsidRDefault="00A33604" w14:paraId="67B659C0" w14:textId="77777777">
            <w:pPr>
              <w:pStyle w:val="paragraph"/>
              <w:numPr>
                <w:ilvl w:val="0"/>
                <w:numId w:val="44"/>
              </w:numPr>
              <w:spacing w:before="0" w:beforeAutospacing="0" w:after="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Registered User - </w:t>
            </w:r>
            <w:r w:rsidRPr="008E271F">
              <w:rPr>
                <w:rStyle w:val="normaltextrun"/>
                <w:rFonts w:asciiTheme="minorHAnsi" w:hAnsiTheme="minorHAnsi" w:cstheme="minorHAnsi"/>
                <w:bCs/>
                <w:color w:val="000000"/>
                <w:sz w:val="22"/>
                <w:szCs w:val="22"/>
              </w:rPr>
              <w:t>Manually connect to search for and download data</w:t>
            </w:r>
          </w:p>
          <w:p w:rsidRPr="008E271F" w:rsidR="00A33604" w:rsidP="00A33604" w:rsidRDefault="00A33604" w14:paraId="599E1448" w14:textId="77777777">
            <w:pPr>
              <w:pStyle w:val="paragraph"/>
              <w:numPr>
                <w:ilvl w:val="0"/>
                <w:numId w:val="44"/>
              </w:numPr>
              <w:spacing w:before="0" w:beforeAutospacing="0" w:after="0" w:afterAutospacing="0" w:line="276" w:lineRule="auto"/>
              <w:jc w:val="both"/>
              <w:textAlignment w:val="baseline"/>
              <w:rPr>
                <w:rStyle w:val="normaltextrun"/>
                <w:rFonts w:asciiTheme="minorHAnsi" w:hAnsiTheme="minorHAnsi" w:cstheme="minorHAnsi"/>
                <w:bCs/>
                <w:color w:val="000000"/>
                <w:sz w:val="22"/>
                <w:szCs w:val="22"/>
              </w:rPr>
            </w:pPr>
            <w:r>
              <w:rPr>
                <w:rStyle w:val="normaltextrun"/>
                <w:rFonts w:asciiTheme="minorHAnsi" w:hAnsiTheme="minorHAnsi" w:cstheme="minorHAnsi"/>
                <w:bCs/>
                <w:color w:val="000000"/>
                <w:sz w:val="22"/>
                <w:szCs w:val="22"/>
              </w:rPr>
              <w:t xml:space="preserve">Registered User - </w:t>
            </w:r>
            <w:r w:rsidRPr="008E271F">
              <w:rPr>
                <w:rStyle w:val="normaltextrun"/>
                <w:rFonts w:asciiTheme="minorHAnsi" w:hAnsiTheme="minorHAnsi" w:cstheme="minorHAnsi"/>
                <w:bCs/>
                <w:color w:val="000000"/>
                <w:sz w:val="22"/>
                <w:szCs w:val="22"/>
              </w:rPr>
              <w:t xml:space="preserve">Manually or programmatically connect to download data from the file download service </w:t>
            </w:r>
            <w:r>
              <w:rPr>
                <w:rStyle w:val="normaltextrun"/>
                <w:rFonts w:asciiTheme="minorHAnsi" w:hAnsiTheme="minorHAnsi" w:cstheme="minorHAnsi"/>
                <w:bCs/>
                <w:color w:val="000000"/>
                <w:sz w:val="22"/>
                <w:szCs w:val="22"/>
              </w:rPr>
              <w:t xml:space="preserve"> </w:t>
            </w:r>
          </w:p>
          <w:p w:rsidRPr="000B0101" w:rsidR="00A33604" w:rsidP="00A33604" w:rsidRDefault="00A33604" w14:paraId="207CFFD3" w14:textId="77777777">
            <w:pPr>
              <w:pStyle w:val="paragraph"/>
              <w:spacing w:before="0" w:beforeAutospacing="0" w:after="120" w:afterAutospacing="0" w:line="276" w:lineRule="auto"/>
              <w:jc w:val="both"/>
              <w:textAlignment w:val="baseline"/>
              <w:rPr>
                <w:rStyle w:val="normaltextrun"/>
                <w:rFonts w:ascii="Calibri" w:hAnsi="Calibri" w:cs="Calibri" w:eastAsiaTheme="minorEastAsia"/>
                <w:bCs/>
                <w:color w:val="000000"/>
                <w:sz w:val="22"/>
                <w:szCs w:val="22"/>
                <w:lang w:val="en-US" w:eastAsia="en-US"/>
              </w:rPr>
            </w:pPr>
          </w:p>
          <w:p w:rsidR="00E26E24" w:rsidP="00A33604" w:rsidRDefault="00A33604" w14:paraId="454B48CA" w14:textId="77777777">
            <w:pPr>
              <w:jc w:val="both"/>
              <w:rPr>
                <w:rStyle w:val="normaltextrun"/>
                <w:rFonts w:ascii="Calibri" w:hAnsi="Calibri" w:cs="Calibri"/>
                <w:b/>
                <w:i/>
                <w:color w:val="000000"/>
              </w:rPr>
            </w:pPr>
            <w:r w:rsidRPr="00FD3533">
              <w:rPr>
                <w:rStyle w:val="normaltextrun"/>
                <w:rFonts w:ascii="Calibri" w:hAnsi="Calibri" w:cs="Calibri"/>
                <w:b/>
                <w:bCs/>
                <w:i/>
                <w:iCs/>
                <w:color w:val="000000"/>
              </w:rPr>
              <w:t xml:space="preserve">Question 2a: </w:t>
            </w:r>
            <w:r w:rsidRPr="00FD3533">
              <w:rPr>
                <w:rStyle w:val="normaltextrun"/>
                <w:rFonts w:ascii="Calibri" w:hAnsi="Calibri" w:cs="Calibri"/>
                <w:b/>
                <w:i/>
                <w:iCs/>
                <w:color w:val="000000"/>
              </w:rPr>
              <w:t>Do you</w:t>
            </w:r>
            <w:r w:rsidRPr="000B0101">
              <w:rPr>
                <w:rStyle w:val="normaltextrun"/>
                <w:rFonts w:ascii="Calibri" w:hAnsi="Calibri" w:cs="Calibri"/>
                <w:b/>
                <w:i/>
                <w:color w:val="000000"/>
              </w:rPr>
              <w:t xml:space="preserve"> concur with the </w:t>
            </w:r>
            <w:r>
              <w:rPr>
                <w:rStyle w:val="normaltextrun"/>
                <w:rFonts w:ascii="Calibri" w:hAnsi="Calibri" w:cs="Calibri"/>
                <w:b/>
                <w:i/>
                <w:color w:val="000000"/>
              </w:rPr>
              <w:t>approach related</w:t>
            </w:r>
            <w:r w:rsidRPr="000B0101">
              <w:rPr>
                <w:rStyle w:val="normaltextrun"/>
                <w:rFonts w:ascii="Calibri" w:hAnsi="Calibri" w:cs="Calibri"/>
                <w:b/>
                <w:i/>
                <w:color w:val="000000"/>
              </w:rPr>
              <w:t xml:space="preserve"> to </w:t>
            </w:r>
            <w:r>
              <w:rPr>
                <w:rStyle w:val="normaltextrun"/>
                <w:rFonts w:ascii="Calibri" w:hAnsi="Calibri" w:cs="Calibri"/>
                <w:b/>
                <w:i/>
                <w:color w:val="000000"/>
              </w:rPr>
              <w:t>user access including any additional services to be introduced at the discretion of the TAC?</w:t>
            </w:r>
          </w:p>
          <w:p w:rsidRPr="000B0101" w:rsidR="00A33604" w:rsidP="00A33604" w:rsidRDefault="00A33604" w14:paraId="766F0A2E" w14:textId="6A512026">
            <w:pPr>
              <w:jc w:val="both"/>
              <w:rPr>
                <w:rStyle w:val="normaltextrun"/>
                <w:rFonts w:ascii="Calibri" w:hAnsi="Calibri" w:cs="Calibri"/>
                <w:b/>
                <w:i/>
                <w:color w:val="000000"/>
              </w:rPr>
            </w:pPr>
            <w:r>
              <w:rPr>
                <w:rStyle w:val="normaltextrun"/>
                <w:rFonts w:ascii="Calibri" w:hAnsi="Calibri" w:cs="Calibri"/>
                <w:b/>
                <w:i/>
                <w:color w:val="000000"/>
              </w:rPr>
              <w:t xml:space="preserve"> </w:t>
            </w:r>
          </w:p>
          <w:p w:rsidRPr="000B0101" w:rsidR="00A33604" w:rsidP="00A33604" w:rsidRDefault="00A33604" w14:paraId="1CE68052" w14:textId="77777777">
            <w:pPr>
              <w:jc w:val="both"/>
              <w:rPr>
                <w:rStyle w:val="normaltextrun"/>
                <w:rFonts w:cstheme="minorHAnsi"/>
                <w:b/>
                <w:color w:val="000000"/>
              </w:rPr>
            </w:pPr>
            <w:r w:rsidRPr="000B0101">
              <w:rPr>
                <w:rStyle w:val="normaltextrun"/>
                <w:rFonts w:cstheme="minorHAnsi"/>
                <w:b/>
                <w:bCs/>
                <w:color w:val="000000"/>
              </w:rPr>
              <w:t xml:space="preserve">Question </w:t>
            </w:r>
            <w:r>
              <w:rPr>
                <w:rStyle w:val="normaltextrun"/>
                <w:rFonts w:cstheme="minorHAnsi"/>
                <w:b/>
                <w:bCs/>
                <w:color w:val="000000"/>
              </w:rPr>
              <w:t>2</w:t>
            </w:r>
            <w:r w:rsidRPr="000B0101">
              <w:rPr>
                <w:rStyle w:val="normaltextrun"/>
                <w:rFonts w:cstheme="minorHAnsi"/>
                <w:b/>
                <w:bCs/>
                <w:color w:val="000000"/>
              </w:rPr>
              <w:t>b:</w:t>
            </w:r>
            <w:r w:rsidRPr="000B0101">
              <w:rPr>
                <w:rStyle w:val="normaltextrun"/>
                <w:rFonts w:cstheme="minorHAnsi"/>
                <w:b/>
                <w:color w:val="000000"/>
              </w:rPr>
              <w:t xml:space="preserve"> </w:t>
            </w:r>
            <w:r w:rsidRPr="000B0101">
              <w:rPr>
                <w:rStyle w:val="normaltextrun"/>
                <w:rFonts w:cstheme="minorHAnsi"/>
                <w:b/>
                <w:i/>
                <w:color w:val="000000"/>
              </w:rPr>
              <w:t>If not, what specific alternate approach do you recommend? Please provide a clear and objective rationale for each alternate approach you recommend.</w:t>
            </w:r>
            <w:r w:rsidRPr="000B0101">
              <w:rPr>
                <w:rStyle w:val="normaltextrun"/>
                <w:rFonts w:cstheme="minorHAnsi"/>
                <w:b/>
                <w:color w:val="000000"/>
              </w:rPr>
              <w:t xml:space="preserve"> </w:t>
            </w:r>
          </w:p>
          <w:p w:rsidRPr="00DB7576" w:rsidR="00DE1710" w:rsidP="005D5CA5" w:rsidRDefault="00DE1710" w14:paraId="4FB2A196" w14:textId="77777777">
            <w:pPr>
              <w:rPr>
                <w:rStyle w:val="eop"/>
                <w:rFonts w:cstheme="minorHAnsi"/>
              </w:rPr>
            </w:pPr>
          </w:p>
        </w:tc>
        <w:tc>
          <w:tcPr>
            <w:tcW w:w="4395" w:type="dxa"/>
            <w:vAlign w:val="center"/>
          </w:tcPr>
          <w:p w:rsidRPr="00DB7576" w:rsidR="00DE1710" w:rsidP="005D5CA5" w:rsidRDefault="00DE1710" w14:paraId="12EDCE1D" w14:textId="77777777">
            <w:pPr>
              <w:rPr>
                <w:rFonts w:cstheme="minorHAnsi"/>
              </w:rPr>
            </w:pPr>
          </w:p>
        </w:tc>
      </w:tr>
      <w:tr w:rsidRPr="00DB7576" w:rsidR="00DE1710" w:rsidTr="005D5CA5" w14:paraId="794F877C" w14:textId="77777777">
        <w:trPr>
          <w:trHeight w:val="567"/>
        </w:trPr>
        <w:tc>
          <w:tcPr>
            <w:tcW w:w="704" w:type="dxa"/>
            <w:vAlign w:val="center"/>
          </w:tcPr>
          <w:p w:rsidR="00DE1710" w:rsidDel="00DE1710" w:rsidP="005D5CA5" w:rsidRDefault="00DE1710" w14:paraId="4703B8C6" w14:textId="38BC48DE">
            <w:pPr>
              <w:jc w:val="center"/>
              <w:rPr>
                <w:rFonts w:cstheme="minorHAnsi"/>
              </w:rPr>
            </w:pPr>
            <w:r>
              <w:rPr>
                <w:rFonts w:cstheme="minorHAnsi"/>
              </w:rPr>
              <w:t>3</w:t>
            </w:r>
          </w:p>
        </w:tc>
        <w:tc>
          <w:tcPr>
            <w:tcW w:w="3827" w:type="dxa"/>
            <w:vAlign w:val="center"/>
          </w:tcPr>
          <w:p w:rsidR="00A33604" w:rsidP="00F97C5F" w:rsidRDefault="00A33604" w14:paraId="5D13E022" w14:textId="77777777">
            <w:pPr>
              <w:spacing w:before="240"/>
              <w:jc w:val="both"/>
              <w:rPr>
                <w:rStyle w:val="normaltextrun"/>
                <w:rFonts w:ascii="Calibri" w:hAnsi="Calibri" w:cs="Calibri"/>
                <w:color w:val="000000"/>
              </w:rPr>
            </w:pPr>
            <w:r>
              <w:rPr>
                <w:rStyle w:val="normaltextrun"/>
                <w:rFonts w:ascii="Calibri" w:hAnsi="Calibri" w:cs="Calibri"/>
                <w:b/>
                <w:bCs/>
                <w:color w:val="000000"/>
              </w:rPr>
              <w:t xml:space="preserve">Summary: </w:t>
            </w:r>
            <w:r w:rsidRPr="001165C9">
              <w:rPr>
                <w:rStyle w:val="normaltextrun"/>
                <w:rFonts w:ascii="Calibri" w:hAnsi="Calibri" w:cs="Calibri"/>
                <w:color w:val="000000"/>
              </w:rPr>
              <w:t xml:space="preserve">The DSB is proposing to make the </w:t>
            </w:r>
            <w:r>
              <w:rPr>
                <w:rStyle w:val="normaltextrun"/>
                <w:rFonts w:ascii="Calibri" w:hAnsi="Calibri" w:cs="Calibri"/>
                <w:color w:val="000000"/>
              </w:rPr>
              <w:t xml:space="preserve">OTC </w:t>
            </w:r>
            <w:r w:rsidRPr="001165C9">
              <w:rPr>
                <w:rStyle w:val="normaltextrun"/>
                <w:rFonts w:ascii="Calibri" w:hAnsi="Calibri" w:cs="Calibri"/>
                <w:color w:val="000000"/>
              </w:rPr>
              <w:t xml:space="preserve">ISIN record </w:t>
            </w:r>
            <w:r>
              <w:rPr>
                <w:rStyle w:val="normaltextrun"/>
                <w:rFonts w:ascii="Calibri" w:hAnsi="Calibri" w:cs="Calibri"/>
                <w:color w:val="000000"/>
              </w:rPr>
              <w:t>including the</w:t>
            </w:r>
            <w:r w:rsidRPr="001165C9">
              <w:rPr>
                <w:rStyle w:val="normaltextrun"/>
                <w:rFonts w:ascii="Calibri" w:hAnsi="Calibri" w:cs="Calibri"/>
                <w:color w:val="000000"/>
              </w:rPr>
              <w:t xml:space="preserve"> UPI code freely available at T+</w:t>
            </w:r>
            <w:r>
              <w:rPr>
                <w:rStyle w:val="normaltextrun"/>
                <w:rFonts w:ascii="Calibri" w:hAnsi="Calibri" w:cs="Calibri"/>
                <w:color w:val="000000"/>
              </w:rPr>
              <w:t>0 23.55hrs</w:t>
            </w:r>
            <w:r w:rsidRPr="001165C9" w:rsidDel="00DB49AE">
              <w:rPr>
                <w:rStyle w:val="normaltextrun"/>
                <w:rFonts w:ascii="Calibri" w:hAnsi="Calibri" w:cs="Calibri"/>
                <w:color w:val="000000"/>
              </w:rPr>
              <w:t xml:space="preserve"> UTC</w:t>
            </w:r>
            <w:r>
              <w:rPr>
                <w:rStyle w:val="normaltextrun"/>
                <w:rFonts w:ascii="Calibri" w:hAnsi="Calibri" w:cs="Calibri"/>
                <w:color w:val="000000"/>
              </w:rPr>
              <w:t xml:space="preserve"> </w:t>
            </w:r>
            <w:r w:rsidRPr="001165C9">
              <w:rPr>
                <w:rStyle w:val="normaltextrun"/>
                <w:rFonts w:ascii="Calibri" w:hAnsi="Calibri" w:cs="Calibri"/>
                <w:color w:val="000000"/>
              </w:rPr>
              <w:t>and the full UPI record on T+</w:t>
            </w:r>
            <w:r>
              <w:rPr>
                <w:rStyle w:val="normaltextrun"/>
                <w:rFonts w:ascii="Calibri" w:hAnsi="Calibri" w:cs="Calibri"/>
                <w:color w:val="000000"/>
              </w:rPr>
              <w:t>1 23.55hrs UTC</w:t>
            </w:r>
            <w:r w:rsidRPr="001165C9" w:rsidDel="000730BB">
              <w:rPr>
                <w:rStyle w:val="normaltextrun"/>
                <w:rFonts w:ascii="Calibri" w:hAnsi="Calibri" w:cs="Calibri"/>
                <w:color w:val="000000"/>
              </w:rPr>
              <w:t xml:space="preserve"> </w:t>
            </w:r>
            <w:r w:rsidRPr="001165C9">
              <w:rPr>
                <w:rStyle w:val="normaltextrun"/>
                <w:rFonts w:ascii="Calibri" w:hAnsi="Calibri" w:cs="Calibri"/>
                <w:color w:val="000000"/>
              </w:rPr>
              <w:t>with the primary goals of ensuring financial sustainability and providing a fair service for all jurisdictions</w:t>
            </w:r>
            <w:r>
              <w:rPr>
                <w:rStyle w:val="normaltextrun"/>
                <w:rFonts w:ascii="Calibri" w:hAnsi="Calibri" w:cs="Calibri"/>
                <w:color w:val="000000"/>
              </w:rPr>
              <w:t>.</w:t>
            </w:r>
          </w:p>
          <w:p w:rsidR="00A33604" w:rsidP="00A33604" w:rsidRDefault="00A33604" w14:paraId="5E8A5B08" w14:textId="77777777">
            <w:pPr>
              <w:jc w:val="both"/>
              <w:rPr>
                <w:rStyle w:val="normaltextrun"/>
                <w:rFonts w:ascii="Calibri" w:hAnsi="Calibri" w:cs="Calibri"/>
                <w:b/>
                <w:bCs/>
                <w:color w:val="000000"/>
              </w:rPr>
            </w:pPr>
          </w:p>
          <w:p w:rsidR="00A33604" w:rsidP="00A33604" w:rsidRDefault="00A33604" w14:paraId="7CD32435" w14:textId="77777777">
            <w:pPr>
              <w:jc w:val="both"/>
              <w:rPr>
                <w:b/>
                <w:i/>
                <w:lang w:eastAsia="ja-JP"/>
              </w:rPr>
            </w:pPr>
            <w:r w:rsidRPr="00957138">
              <w:rPr>
                <w:b/>
                <w:i/>
                <w:lang w:eastAsia="ja-JP"/>
              </w:rPr>
              <w:t xml:space="preserve">Question </w:t>
            </w:r>
            <w:r>
              <w:rPr>
                <w:b/>
                <w:bCs/>
                <w:i/>
                <w:iCs/>
                <w:lang w:eastAsia="ja-JP"/>
              </w:rPr>
              <w:t>3</w:t>
            </w:r>
            <w:r w:rsidRPr="00957138">
              <w:rPr>
                <w:b/>
                <w:bCs/>
                <w:i/>
                <w:iCs/>
                <w:lang w:eastAsia="ja-JP"/>
              </w:rPr>
              <w:t>a</w:t>
            </w:r>
            <w:r w:rsidRPr="00957138">
              <w:rPr>
                <w:b/>
                <w:i/>
                <w:lang w:eastAsia="ja-JP"/>
              </w:rPr>
              <w:t>: Do you concur with this approach</w:t>
            </w:r>
            <w:r>
              <w:rPr>
                <w:b/>
                <w:i/>
                <w:lang w:eastAsia="ja-JP"/>
              </w:rPr>
              <w:t xml:space="preserve"> to the Registered user file download timing</w:t>
            </w:r>
            <w:r w:rsidRPr="00957138">
              <w:rPr>
                <w:b/>
                <w:i/>
                <w:lang w:eastAsia="ja-JP"/>
              </w:rPr>
              <w:t xml:space="preserve">? </w:t>
            </w:r>
          </w:p>
          <w:p w:rsidRPr="00957138" w:rsidR="00E26E24" w:rsidP="00A33604" w:rsidRDefault="00E26E24" w14:paraId="172C89E5" w14:textId="77777777">
            <w:pPr>
              <w:jc w:val="both"/>
              <w:rPr>
                <w:b/>
                <w:i/>
                <w:lang w:eastAsia="ja-JP"/>
              </w:rPr>
            </w:pPr>
          </w:p>
          <w:p w:rsidR="00DE1710" w:rsidP="00714B64" w:rsidRDefault="00A33604" w14:paraId="4DFC86D5" w14:textId="77777777">
            <w:pPr>
              <w:rPr>
                <w:b/>
                <w:i/>
                <w:lang w:eastAsia="ja-JP"/>
              </w:rPr>
            </w:pPr>
            <w:r w:rsidRPr="00957138">
              <w:rPr>
                <w:b/>
                <w:i/>
                <w:lang w:eastAsia="ja-JP"/>
              </w:rPr>
              <w:t xml:space="preserve">Question </w:t>
            </w:r>
            <w:r>
              <w:rPr>
                <w:b/>
                <w:bCs/>
                <w:i/>
                <w:iCs/>
                <w:lang w:eastAsia="ja-JP"/>
              </w:rPr>
              <w:t>3</w:t>
            </w:r>
            <w:r w:rsidRPr="00957138">
              <w:rPr>
                <w:b/>
                <w:bCs/>
                <w:i/>
                <w:iCs/>
                <w:lang w:eastAsia="ja-JP"/>
              </w:rPr>
              <w:t>b</w:t>
            </w:r>
            <w:r w:rsidRPr="00957138">
              <w:rPr>
                <w:b/>
                <w:i/>
                <w:lang w:eastAsia="ja-JP"/>
              </w:rPr>
              <w:t>: If not, what specific alternate approach do you recommend? Please provide a clear rationale and any additional details you believe should be incorporated into the DSB’s approach</w:t>
            </w:r>
          </w:p>
          <w:p w:rsidRPr="00DB7576" w:rsidR="00F97C5F" w:rsidP="00714B64" w:rsidRDefault="00F97C5F" w14:paraId="74D46615" w14:textId="1C824E24">
            <w:pPr>
              <w:rPr>
                <w:rStyle w:val="eop"/>
                <w:rFonts w:cstheme="minorHAnsi"/>
              </w:rPr>
            </w:pPr>
          </w:p>
        </w:tc>
        <w:tc>
          <w:tcPr>
            <w:tcW w:w="4395" w:type="dxa"/>
            <w:vAlign w:val="center"/>
          </w:tcPr>
          <w:p w:rsidRPr="00DB7576" w:rsidR="00DE1710" w:rsidP="005D5CA5" w:rsidRDefault="00DE1710" w14:paraId="135D31E3" w14:textId="77777777">
            <w:pPr>
              <w:rPr>
                <w:rFonts w:cstheme="minorHAnsi"/>
              </w:rPr>
            </w:pPr>
          </w:p>
        </w:tc>
      </w:tr>
      <w:tr w:rsidRPr="00DB7576" w:rsidR="00DE1710" w:rsidTr="005D5CA5" w14:paraId="2DF23B93" w14:textId="77777777">
        <w:trPr>
          <w:trHeight w:val="567"/>
        </w:trPr>
        <w:tc>
          <w:tcPr>
            <w:tcW w:w="704" w:type="dxa"/>
            <w:vAlign w:val="center"/>
          </w:tcPr>
          <w:p w:rsidR="00DE1710" w:rsidDel="00DE1710" w:rsidP="005D5CA5" w:rsidRDefault="00DE1710" w14:paraId="17B658D6" w14:textId="2A4450D4">
            <w:pPr>
              <w:jc w:val="center"/>
              <w:rPr>
                <w:rFonts w:cstheme="minorHAnsi"/>
              </w:rPr>
            </w:pPr>
            <w:r>
              <w:rPr>
                <w:rFonts w:cstheme="minorHAnsi"/>
              </w:rPr>
              <w:t>4</w:t>
            </w:r>
          </w:p>
        </w:tc>
        <w:tc>
          <w:tcPr>
            <w:tcW w:w="3827" w:type="dxa"/>
            <w:vAlign w:val="center"/>
          </w:tcPr>
          <w:p w:rsidR="00833CC0" w:rsidP="00833CC0" w:rsidRDefault="00833CC0" w14:paraId="41AD3632" w14:textId="77777777">
            <w:pPr>
              <w:jc w:val="both"/>
              <w:rPr>
                <w:rStyle w:val="normaltextrun"/>
                <w:rFonts w:ascii="Calibri" w:hAnsi="Calibri" w:cs="Calibri"/>
                <w:color w:val="000000"/>
              </w:rPr>
            </w:pPr>
            <w:r>
              <w:rPr>
                <w:rStyle w:val="normaltextrun"/>
                <w:rFonts w:ascii="Calibri" w:hAnsi="Calibri" w:cs="Calibri"/>
                <w:b/>
                <w:bCs/>
                <w:color w:val="000000"/>
              </w:rPr>
              <w:t xml:space="preserve">Summary: </w:t>
            </w:r>
            <w:r>
              <w:rPr>
                <w:rStyle w:val="normaltextrun"/>
                <w:rFonts w:ascii="Calibri" w:hAnsi="Calibri" w:cs="Calibri"/>
                <w:color w:val="000000"/>
              </w:rPr>
              <w:t>The UPI fee model will be based on cost recovery, as aligned with the governance criteria, and is proposed to adopt a substantially similar fee model structure to that of the existing OTC ISIN service. The proposed fee model is expected to be applied to four fee-paying user types, which are divided into the UPI total estimated cost, with the fee level varying according to user access type and user numbers.</w:t>
            </w:r>
          </w:p>
          <w:p w:rsidR="00E26E24" w:rsidP="00833CC0" w:rsidRDefault="00E26E24" w14:paraId="42CF55B0" w14:textId="77777777">
            <w:pPr>
              <w:jc w:val="both"/>
              <w:rPr>
                <w:rStyle w:val="normaltextrun"/>
                <w:rFonts w:ascii="Calibri" w:hAnsi="Calibri" w:cs="Calibri"/>
                <w:color w:val="000000"/>
              </w:rPr>
            </w:pPr>
          </w:p>
          <w:p w:rsidR="00833CC0" w:rsidP="00833CC0" w:rsidRDefault="00833CC0" w14:paraId="2D04E153" w14:textId="77777777">
            <w:pPr>
              <w:jc w:val="both"/>
              <w:rPr>
                <w:b/>
                <w:i/>
                <w:lang w:eastAsia="ja-JP"/>
              </w:rPr>
            </w:pPr>
            <w:r w:rsidRPr="00957138">
              <w:rPr>
                <w:b/>
                <w:i/>
                <w:lang w:eastAsia="ja-JP"/>
              </w:rPr>
              <w:t xml:space="preserve">Question </w:t>
            </w:r>
            <w:r>
              <w:rPr>
                <w:b/>
                <w:i/>
                <w:lang w:eastAsia="ja-JP"/>
              </w:rPr>
              <w:t>4</w:t>
            </w:r>
            <w:r w:rsidRPr="00957138">
              <w:rPr>
                <w:b/>
                <w:i/>
                <w:lang w:eastAsia="ja-JP"/>
              </w:rPr>
              <w:t>a: Do you concur with this approach</w:t>
            </w:r>
            <w:r>
              <w:rPr>
                <w:b/>
                <w:i/>
                <w:lang w:eastAsia="ja-JP"/>
              </w:rPr>
              <w:t xml:space="preserve"> to the User Fee Structure</w:t>
            </w:r>
            <w:r w:rsidRPr="00957138">
              <w:rPr>
                <w:b/>
                <w:i/>
                <w:lang w:eastAsia="ja-JP"/>
              </w:rPr>
              <w:t xml:space="preserve">? </w:t>
            </w:r>
          </w:p>
          <w:p w:rsidRPr="00957138" w:rsidR="00E26E24" w:rsidP="00833CC0" w:rsidRDefault="00E26E24" w14:paraId="3979F7D9" w14:textId="77777777">
            <w:pPr>
              <w:jc w:val="both"/>
              <w:rPr>
                <w:b/>
                <w:i/>
                <w:lang w:eastAsia="ja-JP"/>
              </w:rPr>
            </w:pPr>
          </w:p>
          <w:p w:rsidR="00DE1710" w:rsidP="00F97C5F" w:rsidRDefault="00833CC0" w14:paraId="44A2B65C" w14:textId="77777777">
            <w:pPr>
              <w:rPr>
                <w:b/>
                <w:i/>
                <w:lang w:eastAsia="ja-JP"/>
              </w:rPr>
            </w:pPr>
            <w:r w:rsidRPr="00957138">
              <w:rPr>
                <w:b/>
                <w:i/>
                <w:lang w:eastAsia="ja-JP"/>
              </w:rPr>
              <w:t xml:space="preserve">Question </w:t>
            </w:r>
            <w:r>
              <w:rPr>
                <w:b/>
                <w:i/>
                <w:lang w:eastAsia="ja-JP"/>
              </w:rPr>
              <w:t>4</w:t>
            </w:r>
            <w:r w:rsidRPr="00957138">
              <w:rPr>
                <w:b/>
                <w:i/>
                <w:lang w:eastAsia="ja-JP"/>
              </w:rPr>
              <w:t>b: If not, what specific alternate approach do you recommend? Please provide a clear rationale and any additional details you believe should be incorporated into the DSB’s approach</w:t>
            </w:r>
          </w:p>
          <w:p w:rsidRPr="00DB7576" w:rsidR="00F97C5F" w:rsidP="00F97C5F" w:rsidRDefault="00F97C5F" w14:paraId="497AD771" w14:textId="3375AE0B">
            <w:pPr>
              <w:rPr>
                <w:rStyle w:val="eop"/>
                <w:rFonts w:cstheme="minorHAnsi"/>
              </w:rPr>
            </w:pPr>
          </w:p>
        </w:tc>
        <w:tc>
          <w:tcPr>
            <w:tcW w:w="4395" w:type="dxa"/>
            <w:vAlign w:val="center"/>
          </w:tcPr>
          <w:p w:rsidRPr="00DB7576" w:rsidR="00DE1710" w:rsidP="005D5CA5" w:rsidRDefault="00DE1710" w14:paraId="08A7F1C1" w14:textId="77777777">
            <w:pPr>
              <w:rPr>
                <w:rFonts w:cstheme="minorHAnsi"/>
              </w:rPr>
            </w:pPr>
          </w:p>
        </w:tc>
      </w:tr>
      <w:tr w:rsidRPr="00DB7576" w:rsidR="00DE1710" w:rsidTr="005D5CA5" w14:paraId="40BB8764" w14:textId="77777777">
        <w:trPr>
          <w:trHeight w:val="567"/>
        </w:trPr>
        <w:tc>
          <w:tcPr>
            <w:tcW w:w="704" w:type="dxa"/>
            <w:vAlign w:val="center"/>
          </w:tcPr>
          <w:p w:rsidR="00DE1710" w:rsidDel="00DE1710" w:rsidP="005D5CA5" w:rsidRDefault="00DE1710" w14:paraId="618D3714" w14:textId="19DDA93D">
            <w:pPr>
              <w:jc w:val="center"/>
              <w:rPr>
                <w:rFonts w:cstheme="minorHAnsi"/>
              </w:rPr>
            </w:pPr>
            <w:r>
              <w:rPr>
                <w:rFonts w:cstheme="minorHAnsi"/>
              </w:rPr>
              <w:t>5</w:t>
            </w:r>
          </w:p>
        </w:tc>
        <w:tc>
          <w:tcPr>
            <w:tcW w:w="3827" w:type="dxa"/>
            <w:vAlign w:val="center"/>
          </w:tcPr>
          <w:p w:rsidR="00E26E24" w:rsidP="00F97C5F" w:rsidRDefault="00E26E24" w14:paraId="3868BAB2" w14:textId="77777777">
            <w:pPr>
              <w:pStyle w:val="NormalWeb"/>
              <w:shd w:val="clear" w:color="auto" w:fill="FFFFFF" w:themeFill="background1"/>
              <w:spacing w:before="240" w:beforeAutospacing="0" w:after="120" w:afterAutospacing="0" w:line="276" w:lineRule="auto"/>
              <w:textAlignment w:val="baseline"/>
              <w:rPr>
                <w:rFonts w:asciiTheme="minorHAnsi" w:hAnsiTheme="minorHAnsi" w:cstheme="minorHAnsi"/>
                <w:sz w:val="22"/>
                <w:szCs w:val="22"/>
              </w:rPr>
            </w:pPr>
            <w:r w:rsidRPr="00856881">
              <w:rPr>
                <w:rStyle w:val="normaltextrun"/>
                <w:rFonts w:asciiTheme="minorHAnsi" w:hAnsiTheme="minorHAnsi" w:cstheme="minorHAnsi"/>
                <w:b/>
                <w:bCs/>
                <w:i/>
                <w:iCs/>
                <w:color w:val="000000"/>
                <w:sz w:val="22"/>
                <w:szCs w:val="22"/>
              </w:rPr>
              <w:t xml:space="preserve">Summary: </w:t>
            </w:r>
            <w:r w:rsidRPr="00625FC0">
              <w:rPr>
                <w:rFonts w:asciiTheme="minorHAnsi" w:hAnsiTheme="minorHAnsi" w:cstheme="minorHAnsi"/>
                <w:sz w:val="22"/>
                <w:szCs w:val="22"/>
              </w:rPr>
              <w:t xml:space="preserve">Current estimates of the UPI service </w:t>
            </w:r>
            <w:r>
              <w:rPr>
                <w:rFonts w:asciiTheme="minorHAnsi" w:hAnsiTheme="minorHAnsi" w:cstheme="minorHAnsi"/>
                <w:sz w:val="22"/>
                <w:szCs w:val="22"/>
              </w:rPr>
              <w:t xml:space="preserve">costs </w:t>
            </w:r>
            <w:r w:rsidRPr="00625FC0">
              <w:rPr>
                <w:rFonts w:asciiTheme="minorHAnsi" w:hAnsiTheme="minorHAnsi" w:cstheme="minorHAnsi"/>
                <w:sz w:val="22"/>
                <w:szCs w:val="22"/>
              </w:rPr>
              <w:t xml:space="preserve">are </w:t>
            </w:r>
            <w:r>
              <w:rPr>
                <w:rFonts w:asciiTheme="minorHAnsi" w:hAnsiTheme="minorHAnsi" w:cstheme="minorHAnsi"/>
                <w:sz w:val="22"/>
                <w:szCs w:val="22"/>
              </w:rPr>
              <w:t xml:space="preserve">broken down as </w:t>
            </w:r>
            <w:r w:rsidRPr="00074E57">
              <w:rPr>
                <w:rFonts w:asciiTheme="minorHAnsi" w:hAnsiTheme="minorHAnsi" w:cstheme="minorHAnsi"/>
                <w:sz w:val="22"/>
                <w:szCs w:val="22"/>
              </w:rPr>
              <w:t>Estimate Capital Expenditure (Capex) – Build Costs for the period 2020-H1 2022, Estimate Time-Limited Costs and Estimate Operating Expenditure (</w:t>
            </w:r>
            <w:proofErr w:type="spellStart"/>
            <w:r w:rsidRPr="00074E57">
              <w:rPr>
                <w:rFonts w:asciiTheme="minorHAnsi" w:hAnsiTheme="minorHAnsi" w:cstheme="minorHAnsi"/>
                <w:sz w:val="22"/>
                <w:szCs w:val="22"/>
              </w:rPr>
              <w:t>Opex</w:t>
            </w:r>
            <w:proofErr w:type="spellEnd"/>
            <w:r w:rsidRPr="00074E57">
              <w:rPr>
                <w:rFonts w:asciiTheme="minorHAnsi" w:hAnsiTheme="minorHAnsi" w:cstheme="minorHAnsi"/>
                <w:sz w:val="22"/>
                <w:szCs w:val="22"/>
              </w:rPr>
              <w:t>) based on an estimate of 3,000 fee-paying users</w:t>
            </w:r>
            <w:r w:rsidRPr="00625FC0">
              <w:rPr>
                <w:rFonts w:asciiTheme="minorHAnsi" w:hAnsiTheme="minorHAnsi" w:cstheme="minorHAnsi"/>
                <w:sz w:val="22"/>
                <w:szCs w:val="22"/>
              </w:rPr>
              <w:t>.</w:t>
            </w:r>
            <w:r>
              <w:rPr>
                <w:rFonts w:asciiTheme="minorHAnsi" w:hAnsiTheme="minorHAnsi" w:cstheme="minorHAnsi"/>
                <w:sz w:val="22"/>
                <w:szCs w:val="22"/>
              </w:rPr>
              <w:t xml:space="preserve"> Costs include the application of a Financial Sustainability Margin, to help </w:t>
            </w:r>
            <w:r w:rsidRPr="00745E71">
              <w:rPr>
                <w:rFonts w:asciiTheme="minorHAnsi" w:hAnsiTheme="minorHAnsi" w:cstheme="minorHAnsi"/>
                <w:sz w:val="22"/>
                <w:szCs w:val="22"/>
              </w:rPr>
              <w:t xml:space="preserve">to ensure the economic sustainability </w:t>
            </w:r>
            <w:r>
              <w:rPr>
                <w:rFonts w:asciiTheme="minorHAnsi" w:hAnsiTheme="minorHAnsi" w:cstheme="minorHAnsi"/>
                <w:sz w:val="22"/>
                <w:szCs w:val="22"/>
              </w:rPr>
              <w:t xml:space="preserve">of the service, and a contingency fund to address </w:t>
            </w:r>
            <w:r w:rsidRPr="004E7C55">
              <w:rPr>
                <w:rFonts w:asciiTheme="minorHAnsi" w:hAnsiTheme="minorHAnsi" w:cstheme="minorHAnsi"/>
                <w:sz w:val="22"/>
                <w:szCs w:val="22"/>
              </w:rPr>
              <w:t xml:space="preserve">unplanned costs during the implementation </w:t>
            </w:r>
            <w:r>
              <w:rPr>
                <w:rFonts w:asciiTheme="minorHAnsi" w:hAnsiTheme="minorHAnsi" w:cstheme="minorHAnsi"/>
                <w:sz w:val="22"/>
                <w:szCs w:val="22"/>
              </w:rPr>
              <w:t xml:space="preserve">and first few years </w:t>
            </w:r>
            <w:r w:rsidRPr="004E7C55">
              <w:rPr>
                <w:rFonts w:asciiTheme="minorHAnsi" w:hAnsiTheme="minorHAnsi" w:cstheme="minorHAnsi"/>
                <w:sz w:val="22"/>
                <w:szCs w:val="22"/>
              </w:rPr>
              <w:t>of the service</w:t>
            </w:r>
            <w:r>
              <w:rPr>
                <w:rFonts w:asciiTheme="minorHAnsi" w:hAnsiTheme="minorHAnsi" w:cstheme="minorHAnsi"/>
                <w:sz w:val="22"/>
                <w:szCs w:val="22"/>
              </w:rPr>
              <w:t>.</w:t>
            </w:r>
          </w:p>
          <w:p w:rsidRPr="00790730" w:rsidR="00E26E24" w:rsidP="00E26E24" w:rsidRDefault="00E26E24" w14:paraId="24CF046D" w14:textId="77777777">
            <w:pPr>
              <w:pStyle w:val="NormalWeb"/>
              <w:shd w:val="clear" w:color="auto" w:fill="FFFFFF" w:themeFill="background1"/>
              <w:spacing w:before="0" w:beforeAutospacing="0" w:after="120" w:afterAutospacing="0" w:line="276" w:lineRule="auto"/>
              <w:textAlignment w:val="baseline"/>
              <w:rPr>
                <w:rFonts w:asciiTheme="minorHAnsi" w:hAnsiTheme="minorHAnsi" w:cstheme="minorHAnsi"/>
                <w:sz w:val="22"/>
                <w:szCs w:val="22"/>
              </w:rPr>
            </w:pPr>
            <w:r>
              <w:rPr>
                <w:rFonts w:asciiTheme="minorHAnsi" w:hAnsiTheme="minorHAnsi" w:cstheme="minorHAnsi"/>
                <w:sz w:val="22"/>
                <w:szCs w:val="22"/>
              </w:rPr>
              <w:t>The c</w:t>
            </w:r>
            <w:r w:rsidRPr="00790730">
              <w:rPr>
                <w:rFonts w:asciiTheme="minorHAnsi" w:hAnsiTheme="minorHAnsi" w:cstheme="minorHAnsi"/>
                <w:sz w:val="22"/>
                <w:szCs w:val="22"/>
              </w:rPr>
              <w:t xml:space="preserve">ontingency </w:t>
            </w:r>
            <w:r>
              <w:rPr>
                <w:rFonts w:asciiTheme="minorHAnsi" w:hAnsiTheme="minorHAnsi" w:cstheme="minorHAnsi"/>
                <w:sz w:val="22"/>
                <w:szCs w:val="22"/>
              </w:rPr>
              <w:t xml:space="preserve">is proposed at </w:t>
            </w:r>
            <w:r w:rsidRPr="000B5DAB">
              <w:rPr>
                <w:rFonts w:asciiTheme="minorHAnsi" w:hAnsiTheme="minorHAnsi" w:cstheme="minorHAnsi"/>
                <w:sz w:val="22"/>
                <w:szCs w:val="22"/>
              </w:rPr>
              <w:t>20%</w:t>
            </w:r>
            <w:r>
              <w:rPr>
                <w:rFonts w:asciiTheme="minorHAnsi" w:hAnsiTheme="minorHAnsi" w:cstheme="minorHAnsi"/>
                <w:sz w:val="22"/>
                <w:szCs w:val="22"/>
              </w:rPr>
              <w:t xml:space="preserve"> of Capex and </w:t>
            </w:r>
            <w:proofErr w:type="spellStart"/>
            <w:r>
              <w:rPr>
                <w:rFonts w:asciiTheme="minorHAnsi" w:hAnsiTheme="minorHAnsi" w:cstheme="minorHAnsi"/>
                <w:sz w:val="22"/>
                <w:szCs w:val="22"/>
              </w:rPr>
              <w:t>Opex</w:t>
            </w:r>
            <w:proofErr w:type="spellEnd"/>
            <w:r>
              <w:rPr>
                <w:rFonts w:asciiTheme="minorHAnsi" w:hAnsiTheme="minorHAnsi" w:cstheme="minorHAnsi"/>
                <w:sz w:val="22"/>
                <w:szCs w:val="22"/>
              </w:rPr>
              <w:t xml:space="preserve"> costs</w:t>
            </w:r>
            <w:r w:rsidRPr="000B5DAB">
              <w:rPr>
                <w:rFonts w:asciiTheme="minorHAnsi" w:hAnsiTheme="minorHAnsi" w:cstheme="minorHAnsi"/>
                <w:sz w:val="22"/>
                <w:szCs w:val="22"/>
              </w:rPr>
              <w:t xml:space="preserve"> </w:t>
            </w:r>
            <w:r>
              <w:rPr>
                <w:rFonts w:asciiTheme="minorHAnsi" w:hAnsiTheme="minorHAnsi" w:cstheme="minorHAnsi"/>
                <w:sz w:val="22"/>
                <w:szCs w:val="22"/>
              </w:rPr>
              <w:t>and</w:t>
            </w:r>
            <w:r w:rsidRPr="000B5DAB">
              <w:rPr>
                <w:rFonts w:asciiTheme="minorHAnsi" w:hAnsiTheme="minorHAnsi" w:cstheme="minorHAnsi"/>
                <w:sz w:val="22"/>
                <w:szCs w:val="22"/>
              </w:rPr>
              <w:t xml:space="preserve"> cannot be used without the consent of the </w:t>
            </w:r>
            <w:r>
              <w:rPr>
                <w:rFonts w:asciiTheme="minorHAnsi" w:hAnsiTheme="minorHAnsi" w:cstheme="minorHAnsi"/>
                <w:sz w:val="22"/>
                <w:szCs w:val="22"/>
              </w:rPr>
              <w:t xml:space="preserve">DSB </w:t>
            </w:r>
            <w:r w:rsidRPr="000B5DAB">
              <w:rPr>
                <w:rFonts w:asciiTheme="minorHAnsi" w:hAnsiTheme="minorHAnsi" w:cstheme="minorHAnsi"/>
                <w:sz w:val="22"/>
                <w:szCs w:val="22"/>
              </w:rPr>
              <w:t>Board</w:t>
            </w:r>
            <w:r w:rsidRPr="00790730">
              <w:rPr>
                <w:rFonts w:asciiTheme="minorHAnsi" w:hAnsiTheme="minorHAnsi" w:cstheme="minorHAnsi"/>
                <w:sz w:val="22"/>
                <w:szCs w:val="22"/>
              </w:rPr>
              <w:t>.</w:t>
            </w:r>
          </w:p>
          <w:p w:rsidRPr="000517B2" w:rsidR="00E26E24" w:rsidP="00E26E24" w:rsidRDefault="00E26E24" w14:paraId="34E98132" w14:textId="77777777">
            <w:pPr>
              <w:spacing w:before="240"/>
              <w:jc w:val="both"/>
              <w:rPr>
                <w:rFonts w:cstheme="minorHAnsi"/>
                <w:b/>
                <w:i/>
              </w:rPr>
            </w:pPr>
            <w:r w:rsidRPr="000517B2">
              <w:rPr>
                <w:rFonts w:cstheme="minorHAnsi"/>
                <w:b/>
                <w:i/>
              </w:rPr>
              <w:t xml:space="preserve">Question </w:t>
            </w:r>
            <w:r>
              <w:rPr>
                <w:rFonts w:cstheme="minorHAnsi"/>
                <w:b/>
                <w:i/>
              </w:rPr>
              <w:t xml:space="preserve">5a: </w:t>
            </w:r>
            <w:r w:rsidRPr="000517B2">
              <w:rPr>
                <w:rFonts w:cstheme="minorHAnsi"/>
                <w:b/>
                <w:i/>
              </w:rPr>
              <w:t xml:space="preserve">Do you </w:t>
            </w:r>
            <w:r>
              <w:rPr>
                <w:rFonts w:cstheme="minorHAnsi"/>
                <w:b/>
                <w:i/>
              </w:rPr>
              <w:t xml:space="preserve">concur with the proposal to apply a </w:t>
            </w:r>
            <w:r w:rsidRPr="008963ED">
              <w:rPr>
                <w:rFonts w:cstheme="minorHAnsi"/>
                <w:b/>
                <w:i/>
              </w:rPr>
              <w:t>20% contingency</w:t>
            </w:r>
            <w:r>
              <w:rPr>
                <w:rFonts w:cstheme="minorHAnsi"/>
                <w:b/>
                <w:i/>
              </w:rPr>
              <w:t xml:space="preserve"> fund?</w:t>
            </w:r>
          </w:p>
          <w:p w:rsidRPr="000517B2" w:rsidR="00E26E24" w:rsidP="00E26E24" w:rsidRDefault="00E26E24" w14:paraId="7D0E2C75" w14:textId="77777777">
            <w:pPr>
              <w:spacing w:before="240"/>
              <w:jc w:val="both"/>
              <w:rPr>
                <w:b/>
                <w:i/>
                <w:color w:val="FF0000"/>
                <w:lang w:eastAsia="ja-JP"/>
              </w:rPr>
            </w:pPr>
            <w:r w:rsidRPr="000517B2">
              <w:rPr>
                <w:rFonts w:cstheme="minorHAnsi"/>
                <w:b/>
                <w:i/>
              </w:rPr>
              <w:t xml:space="preserve">Question </w:t>
            </w:r>
            <w:r>
              <w:rPr>
                <w:rFonts w:cstheme="minorHAnsi"/>
                <w:b/>
                <w:i/>
              </w:rPr>
              <w:t>5b</w:t>
            </w:r>
            <w:r w:rsidRPr="000517B2">
              <w:rPr>
                <w:rFonts w:cstheme="minorHAnsi"/>
                <w:b/>
                <w:i/>
              </w:rPr>
              <w:t>: If not, what specific alternate approach do you recommend? Please provide a clear rationale and any additional details you believe should be incorporated into the DSB’s approach.</w:t>
            </w:r>
          </w:p>
          <w:p w:rsidRPr="00DB7576" w:rsidR="00DE1710" w:rsidP="005D5CA5" w:rsidRDefault="00DE1710" w14:paraId="0186D801" w14:textId="77777777">
            <w:pPr>
              <w:rPr>
                <w:rStyle w:val="eop"/>
                <w:rFonts w:cstheme="minorHAnsi"/>
              </w:rPr>
            </w:pPr>
          </w:p>
        </w:tc>
        <w:tc>
          <w:tcPr>
            <w:tcW w:w="4395" w:type="dxa"/>
            <w:vAlign w:val="center"/>
          </w:tcPr>
          <w:p w:rsidRPr="00DB7576" w:rsidR="00DE1710" w:rsidP="005D5CA5" w:rsidRDefault="00DE1710" w14:paraId="2D195AC2" w14:textId="77777777">
            <w:pPr>
              <w:rPr>
                <w:rFonts w:cstheme="minorHAnsi"/>
              </w:rPr>
            </w:pPr>
          </w:p>
        </w:tc>
      </w:tr>
      <w:tr w:rsidRPr="00DB7576" w:rsidR="00DE1710" w:rsidTr="005D5CA5" w14:paraId="2017921C" w14:textId="77777777">
        <w:trPr>
          <w:trHeight w:val="567"/>
        </w:trPr>
        <w:tc>
          <w:tcPr>
            <w:tcW w:w="704" w:type="dxa"/>
            <w:vAlign w:val="center"/>
          </w:tcPr>
          <w:p w:rsidR="00DE1710" w:rsidDel="00DE1710" w:rsidP="005D5CA5" w:rsidRDefault="00DE1710" w14:paraId="057D632F" w14:textId="67B242EE">
            <w:pPr>
              <w:jc w:val="center"/>
              <w:rPr>
                <w:rFonts w:cstheme="minorHAnsi"/>
              </w:rPr>
            </w:pPr>
            <w:r>
              <w:rPr>
                <w:rFonts w:cstheme="minorHAnsi"/>
              </w:rPr>
              <w:t>6</w:t>
            </w:r>
          </w:p>
        </w:tc>
        <w:tc>
          <w:tcPr>
            <w:tcW w:w="3827" w:type="dxa"/>
            <w:vAlign w:val="center"/>
          </w:tcPr>
          <w:p w:rsidR="00E26E24" w:rsidP="00F97C5F" w:rsidRDefault="00E26E24" w14:paraId="68D2D9B6" w14:textId="77777777">
            <w:pPr>
              <w:pStyle w:val="NormalWeb"/>
              <w:shd w:val="clear" w:color="auto" w:fill="FFFFFF" w:themeFill="background1"/>
              <w:spacing w:before="240" w:beforeAutospacing="0" w:after="120" w:afterAutospacing="0" w:line="276" w:lineRule="auto"/>
              <w:jc w:val="both"/>
              <w:textAlignment w:val="baseline"/>
              <w:rPr>
                <w:rFonts w:asciiTheme="minorHAnsi" w:hAnsiTheme="minorHAnsi" w:cstheme="minorHAnsi"/>
                <w:sz w:val="22"/>
                <w:szCs w:val="22"/>
              </w:rPr>
            </w:pPr>
            <w:r w:rsidRPr="00244FE0">
              <w:rPr>
                <w:rStyle w:val="normaltextrun"/>
                <w:rFonts w:asciiTheme="minorHAnsi" w:hAnsiTheme="minorHAnsi" w:cstheme="minorHAnsi"/>
                <w:b/>
                <w:bCs/>
                <w:i/>
                <w:iCs/>
                <w:color w:val="000000"/>
                <w:sz w:val="22"/>
                <w:szCs w:val="22"/>
              </w:rPr>
              <w:t xml:space="preserve">Summary: </w:t>
            </w:r>
            <w:r>
              <w:rPr>
                <w:rFonts w:asciiTheme="minorHAnsi" w:hAnsiTheme="minorHAnsi" w:cstheme="minorHAnsi"/>
                <w:sz w:val="22"/>
                <w:szCs w:val="22"/>
              </w:rPr>
              <w:t>The</w:t>
            </w:r>
            <w:r w:rsidRPr="00856881">
              <w:rPr>
                <w:rFonts w:asciiTheme="minorHAnsi" w:hAnsiTheme="minorHAnsi" w:cstheme="minorHAnsi"/>
                <w:sz w:val="22"/>
                <w:szCs w:val="22"/>
              </w:rPr>
              <w:t xml:space="preserve"> DSB </w:t>
            </w:r>
            <w:r>
              <w:rPr>
                <w:rFonts w:asciiTheme="minorHAnsi" w:hAnsiTheme="minorHAnsi" w:cstheme="minorHAnsi"/>
                <w:sz w:val="22"/>
                <w:szCs w:val="22"/>
              </w:rPr>
              <w:t xml:space="preserve">expects the costs </w:t>
            </w:r>
            <w:r w:rsidRPr="00856881">
              <w:rPr>
                <w:rFonts w:asciiTheme="minorHAnsi" w:hAnsiTheme="minorHAnsi" w:cstheme="minorHAnsi"/>
                <w:sz w:val="22"/>
                <w:szCs w:val="22"/>
              </w:rPr>
              <w:t xml:space="preserve">for </w:t>
            </w:r>
            <w:r>
              <w:rPr>
                <w:rFonts w:asciiTheme="minorHAnsi" w:hAnsiTheme="minorHAnsi" w:cstheme="minorHAnsi"/>
                <w:sz w:val="22"/>
                <w:szCs w:val="22"/>
              </w:rPr>
              <w:t xml:space="preserve">the services it provides to be </w:t>
            </w:r>
            <w:r w:rsidRPr="006604C9">
              <w:rPr>
                <w:rFonts w:asciiTheme="minorHAnsi" w:hAnsiTheme="minorHAnsi" w:cstheme="minorHAnsi"/>
                <w:sz w:val="22"/>
                <w:szCs w:val="22"/>
              </w:rPr>
              <w:t>recovered from the</w:t>
            </w:r>
            <w:r>
              <w:rPr>
                <w:rFonts w:asciiTheme="minorHAnsi" w:hAnsiTheme="minorHAnsi" w:cstheme="minorHAnsi"/>
                <w:sz w:val="22"/>
                <w:szCs w:val="22"/>
              </w:rPr>
              <w:t xml:space="preserve"> </w:t>
            </w:r>
            <w:r w:rsidRPr="006604C9">
              <w:rPr>
                <w:rFonts w:asciiTheme="minorHAnsi" w:hAnsiTheme="minorHAnsi" w:cstheme="minorHAnsi"/>
                <w:sz w:val="22"/>
                <w:szCs w:val="22"/>
              </w:rPr>
              <w:t>user</w:t>
            </w:r>
            <w:r>
              <w:rPr>
                <w:rFonts w:asciiTheme="minorHAnsi" w:hAnsiTheme="minorHAnsi" w:cstheme="minorHAnsi"/>
                <w:sz w:val="22"/>
                <w:szCs w:val="22"/>
              </w:rPr>
              <w:t xml:space="preserve"> base </w:t>
            </w:r>
            <w:r w:rsidRPr="006604C9">
              <w:rPr>
                <w:rFonts w:asciiTheme="minorHAnsi" w:hAnsiTheme="minorHAnsi" w:cstheme="minorHAnsi"/>
                <w:sz w:val="22"/>
                <w:szCs w:val="22"/>
              </w:rPr>
              <w:t xml:space="preserve">of the </w:t>
            </w:r>
            <w:r w:rsidRPr="00625FC0">
              <w:rPr>
                <w:rFonts w:asciiTheme="minorHAnsi" w:hAnsiTheme="minorHAnsi" w:cstheme="minorHAnsi"/>
                <w:sz w:val="22"/>
                <w:szCs w:val="22"/>
              </w:rPr>
              <w:t xml:space="preserve">respective </w:t>
            </w:r>
            <w:r w:rsidRPr="008C726A">
              <w:rPr>
                <w:rFonts w:asciiTheme="minorHAnsi" w:hAnsiTheme="minorHAnsi" w:cstheme="minorHAnsi"/>
                <w:sz w:val="22"/>
                <w:szCs w:val="22"/>
              </w:rPr>
              <w:t xml:space="preserve">services. </w:t>
            </w:r>
          </w:p>
          <w:p w:rsidR="00E26E24" w:rsidP="00E26E24" w:rsidRDefault="00E26E24" w14:paraId="7BF71CD1" w14:textId="77777777">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Given the high volume of forecast demand for the UPI service as outlined in section 4.1, a dedicated onboarding platform and operating model for the UPI service has been scoped and costed to allow the DSB to provide a scalable UPI service provision. The costs outlined in the previous section all relate solely to the UPI service. </w:t>
            </w:r>
          </w:p>
          <w:p w:rsidR="00E26E24" w:rsidP="00E26E24" w:rsidRDefault="00E26E24" w14:paraId="521967E0" w14:textId="77777777">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Once the</w:t>
            </w:r>
            <w:r w:rsidRPr="0088659D">
              <w:rPr>
                <w:rFonts w:asciiTheme="minorHAnsi" w:hAnsiTheme="minorHAnsi" w:cstheme="minorHAnsi"/>
                <w:sz w:val="22"/>
                <w:szCs w:val="22"/>
              </w:rPr>
              <w:t xml:space="preserve"> UPI service is live</w:t>
            </w:r>
            <w:r>
              <w:rPr>
                <w:rFonts w:asciiTheme="minorHAnsi" w:hAnsiTheme="minorHAnsi" w:cstheme="minorHAnsi"/>
                <w:sz w:val="22"/>
                <w:szCs w:val="22"/>
              </w:rPr>
              <w:t xml:space="preserve"> and the level of demand is confirmed</w:t>
            </w:r>
            <w:r w:rsidRPr="0088659D">
              <w:rPr>
                <w:rFonts w:asciiTheme="minorHAnsi" w:hAnsiTheme="minorHAnsi" w:cstheme="minorHAnsi"/>
                <w:sz w:val="22"/>
                <w:szCs w:val="22"/>
              </w:rPr>
              <w:t xml:space="preserve">, </w:t>
            </w:r>
            <w:r>
              <w:rPr>
                <w:rFonts w:asciiTheme="minorHAnsi" w:hAnsiTheme="minorHAnsi" w:cstheme="minorHAnsi"/>
                <w:sz w:val="22"/>
                <w:szCs w:val="22"/>
              </w:rPr>
              <w:t xml:space="preserve">there will be the opportunity to conduct analysis on the expected scope for synergies and shared costs between the UPI service and the </w:t>
            </w:r>
            <w:r w:rsidRPr="00856881">
              <w:rPr>
                <w:rFonts w:asciiTheme="minorHAnsi" w:hAnsiTheme="minorHAnsi" w:cstheme="minorHAnsi"/>
                <w:sz w:val="22"/>
                <w:szCs w:val="22"/>
              </w:rPr>
              <w:t>OTC ISIN service</w:t>
            </w:r>
            <w:r>
              <w:rPr>
                <w:rFonts w:asciiTheme="minorHAnsi" w:hAnsiTheme="minorHAnsi" w:cstheme="minorHAnsi"/>
                <w:sz w:val="22"/>
                <w:szCs w:val="22"/>
              </w:rPr>
              <w:t xml:space="preserve">, and what an appropriate cost allocation policy would be. </w:t>
            </w:r>
          </w:p>
          <w:p w:rsidR="00E26E24" w:rsidP="00E26E24" w:rsidRDefault="00E26E24" w14:paraId="33B2D039" w14:textId="77777777">
            <w:pPr>
              <w:pStyle w:val="NormalWeb"/>
              <w:shd w:val="clear" w:color="auto" w:fill="FFFFFF" w:themeFill="background1"/>
              <w:spacing w:before="0" w:beforeAutospacing="0" w:after="120" w:afterAutospacing="0" w:line="276" w:lineRule="auto"/>
              <w:jc w:val="both"/>
              <w:textAlignment w:val="baseline"/>
              <w:rPr>
                <w:rFonts w:asciiTheme="minorHAnsi" w:hAnsiTheme="minorHAnsi" w:cstheme="minorHAnsi"/>
                <w:sz w:val="22"/>
                <w:szCs w:val="22"/>
              </w:rPr>
            </w:pPr>
            <w:r w:rsidRPr="00637A7A">
              <w:rPr>
                <w:rFonts w:asciiTheme="minorHAnsi" w:hAnsiTheme="minorHAnsi" w:cstheme="minorHAnsi"/>
                <w:bCs/>
                <w:sz w:val="22"/>
                <w:szCs w:val="22"/>
              </w:rPr>
              <w:t>Specifically, the DSB proposes that</w:t>
            </w:r>
            <w:r>
              <w:rPr>
                <w:rFonts w:asciiTheme="minorHAnsi" w:hAnsiTheme="minorHAnsi" w:cstheme="minorHAnsi"/>
                <w:bCs/>
                <w:sz w:val="22"/>
                <w:szCs w:val="22"/>
              </w:rPr>
              <w:t xml:space="preserve"> </w:t>
            </w:r>
            <w:r w:rsidRPr="00637A7A">
              <w:rPr>
                <w:rFonts w:asciiTheme="minorHAnsi" w:hAnsiTheme="minorHAnsi" w:cstheme="minorHAnsi"/>
                <w:bCs/>
                <w:sz w:val="22"/>
                <w:szCs w:val="22"/>
              </w:rPr>
              <w:t xml:space="preserve">100% of the synergies available by leveraging the existing DSB platform </w:t>
            </w:r>
            <w:r>
              <w:rPr>
                <w:rFonts w:asciiTheme="minorHAnsi" w:hAnsiTheme="minorHAnsi" w:cstheme="minorHAnsi"/>
                <w:bCs/>
                <w:sz w:val="22"/>
                <w:szCs w:val="22"/>
              </w:rPr>
              <w:t>are</w:t>
            </w:r>
            <w:r w:rsidRPr="00637A7A">
              <w:rPr>
                <w:rFonts w:asciiTheme="minorHAnsi" w:hAnsiTheme="minorHAnsi" w:cstheme="minorHAnsi"/>
                <w:bCs/>
                <w:sz w:val="22"/>
                <w:szCs w:val="22"/>
              </w:rPr>
              <w:t xml:space="preserve"> allocated to UPI users in 2022 and 2023, after which</w:t>
            </w:r>
            <w:r>
              <w:rPr>
                <w:rFonts w:asciiTheme="minorHAnsi" w:hAnsiTheme="minorHAnsi" w:cstheme="minorHAnsi"/>
                <w:bCs/>
                <w:sz w:val="22"/>
                <w:szCs w:val="22"/>
              </w:rPr>
              <w:t xml:space="preserve"> there will be determination of</w:t>
            </w:r>
            <w:r w:rsidRPr="00637A7A">
              <w:rPr>
                <w:rFonts w:asciiTheme="minorHAnsi" w:hAnsiTheme="minorHAnsi" w:cstheme="minorHAnsi"/>
                <w:bCs/>
                <w:sz w:val="22"/>
                <w:szCs w:val="22"/>
              </w:rPr>
              <w:t xml:space="preserve"> the </w:t>
            </w:r>
            <w:r>
              <w:rPr>
                <w:rFonts w:asciiTheme="minorHAnsi" w:hAnsiTheme="minorHAnsi" w:cstheme="minorHAnsi"/>
                <w:bCs/>
                <w:sz w:val="22"/>
                <w:szCs w:val="22"/>
              </w:rPr>
              <w:t xml:space="preserve">expected </w:t>
            </w:r>
            <w:r w:rsidRPr="00637A7A">
              <w:rPr>
                <w:rFonts w:asciiTheme="minorHAnsi" w:hAnsiTheme="minorHAnsi" w:cstheme="minorHAnsi"/>
                <w:bCs/>
                <w:sz w:val="22"/>
                <w:szCs w:val="22"/>
              </w:rPr>
              <w:t>synergies to be shared between both OTC ISIN users and UPI users</w:t>
            </w:r>
            <w:r>
              <w:rPr>
                <w:rFonts w:asciiTheme="minorHAnsi" w:hAnsiTheme="minorHAnsi" w:cstheme="minorHAnsi"/>
                <w:bCs/>
                <w:sz w:val="22"/>
                <w:szCs w:val="22"/>
              </w:rPr>
              <w:t xml:space="preserve">. The shared costs will be apportioned </w:t>
            </w:r>
            <w:r w:rsidRPr="00637A7A">
              <w:rPr>
                <w:rFonts w:asciiTheme="minorHAnsi" w:hAnsiTheme="minorHAnsi" w:cstheme="minorHAnsi"/>
                <w:bCs/>
                <w:sz w:val="22"/>
                <w:szCs w:val="22"/>
              </w:rPr>
              <w:t>via an allocation policy that the DSB will propose and consult with stakeholders</w:t>
            </w:r>
            <w:r w:rsidRPr="00637A7A" w:rsidDel="00586DE6">
              <w:rPr>
                <w:rFonts w:asciiTheme="minorHAnsi" w:hAnsiTheme="minorHAnsi" w:cstheme="minorHAnsi"/>
                <w:bCs/>
                <w:sz w:val="22"/>
                <w:szCs w:val="22"/>
              </w:rPr>
              <w:t xml:space="preserve"> </w:t>
            </w:r>
            <w:r w:rsidRPr="00637A7A">
              <w:rPr>
                <w:rFonts w:asciiTheme="minorHAnsi" w:hAnsiTheme="minorHAnsi" w:cstheme="minorHAnsi"/>
                <w:bCs/>
                <w:sz w:val="22"/>
                <w:szCs w:val="22"/>
              </w:rPr>
              <w:t>in 2023</w:t>
            </w:r>
            <w:r>
              <w:rPr>
                <w:rFonts w:asciiTheme="minorHAnsi" w:hAnsiTheme="minorHAnsi" w:cstheme="minorHAnsi"/>
                <w:bCs/>
                <w:sz w:val="22"/>
                <w:szCs w:val="22"/>
              </w:rPr>
              <w:t>.</w:t>
            </w:r>
          </w:p>
          <w:p w:rsidRPr="00957138" w:rsidR="00E26E24" w:rsidP="00E26E24" w:rsidRDefault="00E26E24" w14:paraId="6DEAD7FF" w14:textId="77777777">
            <w:pPr>
              <w:spacing w:before="240"/>
              <w:jc w:val="both"/>
              <w:rPr>
                <w:rFonts w:cstheme="minorHAnsi"/>
                <w:b/>
                <w:i/>
              </w:rPr>
            </w:pPr>
            <w:r w:rsidRPr="00957138">
              <w:rPr>
                <w:rFonts w:cstheme="minorHAnsi"/>
                <w:b/>
                <w:i/>
              </w:rPr>
              <w:t xml:space="preserve">Question </w:t>
            </w:r>
            <w:r>
              <w:rPr>
                <w:rFonts w:cstheme="minorHAnsi"/>
                <w:b/>
                <w:i/>
              </w:rPr>
              <w:t>6</w:t>
            </w:r>
            <w:r w:rsidRPr="00957138">
              <w:rPr>
                <w:rFonts w:cstheme="minorHAnsi"/>
                <w:b/>
                <w:i/>
              </w:rPr>
              <w:t>a: Do you concur with this approach</w:t>
            </w:r>
            <w:r>
              <w:rPr>
                <w:rFonts w:cstheme="minorHAnsi"/>
                <w:b/>
                <w:i/>
              </w:rPr>
              <w:t xml:space="preserve"> to the cost allocation policy</w:t>
            </w:r>
            <w:r w:rsidRPr="00957138">
              <w:rPr>
                <w:rFonts w:cstheme="minorHAnsi"/>
                <w:b/>
                <w:i/>
              </w:rPr>
              <w:t xml:space="preserve">? </w:t>
            </w:r>
          </w:p>
          <w:p w:rsidRPr="00957138" w:rsidR="00E26E24" w:rsidP="00E26E24" w:rsidRDefault="00E26E24" w14:paraId="656D41CD" w14:textId="77777777">
            <w:pPr>
              <w:spacing w:before="240"/>
              <w:jc w:val="both"/>
              <w:rPr>
                <w:b/>
                <w:i/>
                <w:color w:val="FF0000"/>
                <w:lang w:eastAsia="ja-JP"/>
              </w:rPr>
            </w:pPr>
            <w:r w:rsidRPr="00957138">
              <w:rPr>
                <w:rFonts w:cstheme="minorHAnsi"/>
                <w:b/>
                <w:i/>
              </w:rPr>
              <w:t>Question</w:t>
            </w:r>
            <w:r>
              <w:rPr>
                <w:rFonts w:cstheme="minorHAnsi"/>
                <w:b/>
                <w:i/>
              </w:rPr>
              <w:t xml:space="preserve"> 6</w:t>
            </w:r>
            <w:r w:rsidRPr="00957138">
              <w:rPr>
                <w:rFonts w:cstheme="minorHAnsi"/>
                <w:b/>
                <w:i/>
              </w:rPr>
              <w:t>b: If not, what specific alternate approach do you recommend? Please provide a clear rationale and any additional details you believe should be incorporated into the DSB’s approach.</w:t>
            </w:r>
          </w:p>
          <w:p w:rsidRPr="00DB7576" w:rsidR="00DE1710" w:rsidP="005D5CA5" w:rsidRDefault="00DE1710" w14:paraId="3652C702" w14:textId="77777777">
            <w:pPr>
              <w:rPr>
                <w:rStyle w:val="eop"/>
                <w:rFonts w:cstheme="minorHAnsi"/>
              </w:rPr>
            </w:pPr>
          </w:p>
        </w:tc>
        <w:tc>
          <w:tcPr>
            <w:tcW w:w="4395" w:type="dxa"/>
            <w:vAlign w:val="center"/>
          </w:tcPr>
          <w:p w:rsidRPr="00DB7576" w:rsidR="00DE1710" w:rsidP="005D5CA5" w:rsidRDefault="00DE1710" w14:paraId="20A975C4" w14:textId="77777777">
            <w:pPr>
              <w:rPr>
                <w:rFonts w:cstheme="minorHAnsi"/>
              </w:rPr>
            </w:pPr>
          </w:p>
        </w:tc>
      </w:tr>
      <w:tr w:rsidRPr="00DB7576" w:rsidR="00DE1710" w:rsidTr="005D5CA5" w14:paraId="7848A9F5" w14:textId="77777777">
        <w:trPr>
          <w:trHeight w:val="567"/>
        </w:trPr>
        <w:tc>
          <w:tcPr>
            <w:tcW w:w="704" w:type="dxa"/>
            <w:vAlign w:val="center"/>
          </w:tcPr>
          <w:p w:rsidR="00DE1710" w:rsidDel="00DE1710" w:rsidP="005D5CA5" w:rsidRDefault="00DE1710" w14:paraId="10A10AC4" w14:textId="3CBE8006">
            <w:pPr>
              <w:jc w:val="center"/>
              <w:rPr>
                <w:rFonts w:cstheme="minorHAnsi"/>
              </w:rPr>
            </w:pPr>
            <w:r>
              <w:rPr>
                <w:rFonts w:cstheme="minorHAnsi"/>
              </w:rPr>
              <w:t>7</w:t>
            </w:r>
          </w:p>
        </w:tc>
        <w:tc>
          <w:tcPr>
            <w:tcW w:w="3827" w:type="dxa"/>
            <w:vAlign w:val="center"/>
          </w:tcPr>
          <w:p w:rsidRPr="00244FE0" w:rsidR="00F8316A" w:rsidP="00F8316A" w:rsidRDefault="00F8316A" w14:paraId="31B9E777" w14:textId="77777777">
            <w:pPr>
              <w:pStyle w:val="NormalWeb"/>
              <w:shd w:val="clear" w:color="auto" w:fill="FFFFFF" w:themeFill="background1"/>
              <w:spacing w:before="240" w:beforeAutospacing="0" w:after="120" w:afterAutospacing="0" w:line="276" w:lineRule="auto"/>
              <w:textAlignment w:val="baseline"/>
              <w:rPr>
                <w:rStyle w:val="normaltextrun"/>
                <w:rFonts w:asciiTheme="minorHAnsi" w:hAnsiTheme="minorHAnsi" w:eastAsiaTheme="minorEastAsia" w:cstheme="minorHAnsi"/>
                <w:b/>
                <w:bCs/>
                <w:i/>
                <w:iCs/>
                <w:color w:val="000000"/>
                <w:sz w:val="22"/>
                <w:szCs w:val="22"/>
              </w:rPr>
            </w:pPr>
            <w:r w:rsidRPr="00244FE0">
              <w:rPr>
                <w:rStyle w:val="normaltextrun"/>
                <w:rFonts w:asciiTheme="minorHAnsi" w:hAnsiTheme="minorHAnsi" w:cstheme="minorHAnsi"/>
                <w:b/>
                <w:bCs/>
                <w:i/>
                <w:iCs/>
                <w:color w:val="000000"/>
                <w:sz w:val="22"/>
                <w:szCs w:val="22"/>
              </w:rPr>
              <w:t xml:space="preserve">Summary: </w:t>
            </w:r>
            <w:r>
              <w:rPr>
                <w:rFonts w:asciiTheme="minorHAnsi" w:hAnsiTheme="minorHAnsi" w:cstheme="minorHAnsi"/>
                <w:sz w:val="22"/>
                <w:szCs w:val="22"/>
              </w:rPr>
              <w:t>T</w:t>
            </w:r>
            <w:r w:rsidRPr="003073B9">
              <w:rPr>
                <w:rFonts w:asciiTheme="minorHAnsi" w:hAnsiTheme="minorHAnsi" w:cstheme="minorHAnsi"/>
                <w:sz w:val="22"/>
                <w:szCs w:val="22"/>
              </w:rPr>
              <w:t xml:space="preserve">he DSB proposal remains that fees should be paid in advance, as </w:t>
            </w:r>
            <w:r>
              <w:rPr>
                <w:rFonts w:asciiTheme="minorHAnsi" w:hAnsiTheme="minorHAnsi" w:cstheme="minorHAnsi"/>
                <w:sz w:val="22"/>
                <w:szCs w:val="22"/>
              </w:rPr>
              <w:t>with the existing service provision</w:t>
            </w:r>
            <w:r w:rsidRPr="003073B9">
              <w:rPr>
                <w:rFonts w:asciiTheme="minorHAnsi" w:hAnsiTheme="minorHAnsi" w:cstheme="minorHAnsi"/>
                <w:sz w:val="22"/>
                <w:szCs w:val="22"/>
              </w:rPr>
              <w:t xml:space="preserve">.  </w:t>
            </w:r>
            <w:r>
              <w:rPr>
                <w:rFonts w:asciiTheme="minorHAnsi" w:hAnsiTheme="minorHAnsi" w:cstheme="minorHAnsi"/>
                <w:sz w:val="22"/>
                <w:szCs w:val="22"/>
              </w:rPr>
              <w:t xml:space="preserve">Whilst acknowledging the preference for free data and payment in arrears, the DSB proposes that a payment in advance structure is necessary for effectively supporting the financial sustainability of the UPI service. </w:t>
            </w:r>
          </w:p>
          <w:p w:rsidRPr="001D107F" w:rsidR="00F8316A" w:rsidP="00F8316A" w:rsidRDefault="00F8316A" w14:paraId="43F18697" w14:textId="71439F11">
            <w:pPr>
              <w:pStyle w:val="NormalWeb"/>
              <w:shd w:val="clear" w:color="auto" w:fill="FFFFFF" w:themeFill="background1"/>
              <w:spacing w:after="120" w:line="276" w:lineRule="auto"/>
              <w:textAlignment w:val="baseline"/>
              <w:rPr>
                <w:rStyle w:val="normaltextrun"/>
                <w:rFonts w:asciiTheme="minorHAnsi" w:hAnsiTheme="minorHAnsi"/>
                <w:b/>
                <w:i/>
                <w:color w:val="000000"/>
                <w:sz w:val="22"/>
                <w:szCs w:val="22"/>
              </w:rPr>
            </w:pPr>
            <w:r w:rsidRPr="00992C2B">
              <w:rPr>
                <w:rStyle w:val="normaltextrun"/>
                <w:rFonts w:asciiTheme="minorHAnsi" w:hAnsiTheme="minorHAnsi"/>
                <w:b/>
                <w:i/>
                <w:color w:val="000000"/>
                <w:sz w:val="22"/>
                <w:szCs w:val="22"/>
              </w:rPr>
              <w:t xml:space="preserve">Question </w:t>
            </w:r>
            <w:r>
              <w:rPr>
                <w:rStyle w:val="normaltextrun"/>
                <w:rFonts w:asciiTheme="minorHAnsi" w:hAnsiTheme="minorHAnsi"/>
                <w:b/>
                <w:i/>
                <w:color w:val="000000"/>
                <w:sz w:val="22"/>
                <w:szCs w:val="22"/>
              </w:rPr>
              <w:t>7</w:t>
            </w:r>
            <w:r w:rsidRPr="00992C2B">
              <w:rPr>
                <w:rStyle w:val="normaltextrun"/>
                <w:rFonts w:asciiTheme="minorHAnsi" w:hAnsiTheme="minorHAnsi"/>
                <w:b/>
                <w:i/>
                <w:color w:val="000000"/>
                <w:sz w:val="22"/>
                <w:szCs w:val="22"/>
              </w:rPr>
              <w:t>a:</w:t>
            </w:r>
            <w:r w:rsidRPr="001D107F">
              <w:rPr>
                <w:rStyle w:val="normaltextrun"/>
                <w:rFonts w:asciiTheme="minorHAnsi" w:hAnsiTheme="minorHAnsi"/>
                <w:b/>
                <w:i/>
                <w:color w:val="000000"/>
                <w:sz w:val="22"/>
                <w:szCs w:val="22"/>
              </w:rPr>
              <w:t xml:space="preserve"> Do you concur with this approach</w:t>
            </w:r>
            <w:r>
              <w:rPr>
                <w:rStyle w:val="normaltextrun"/>
                <w:rFonts w:asciiTheme="minorHAnsi" w:hAnsiTheme="minorHAnsi"/>
                <w:b/>
                <w:i/>
                <w:color w:val="000000"/>
                <w:sz w:val="22"/>
                <w:szCs w:val="22"/>
              </w:rPr>
              <w:t xml:space="preserve"> to invoicing</w:t>
            </w:r>
            <w:r w:rsidRPr="001D107F">
              <w:rPr>
                <w:rStyle w:val="normaltextrun"/>
                <w:rFonts w:asciiTheme="minorHAnsi" w:hAnsiTheme="minorHAnsi"/>
                <w:b/>
                <w:i/>
                <w:color w:val="000000"/>
                <w:sz w:val="22"/>
                <w:szCs w:val="22"/>
              </w:rPr>
              <w:t xml:space="preserve">? </w:t>
            </w:r>
          </w:p>
          <w:p w:rsidRPr="00DB7576" w:rsidR="00DE1710" w:rsidP="00F8316A" w:rsidRDefault="00F8316A" w14:paraId="0D26B5BB" w14:textId="484983C8">
            <w:pPr>
              <w:pStyle w:val="NormalWeb"/>
              <w:shd w:val="clear" w:color="auto" w:fill="FFFFFF" w:themeFill="background1"/>
              <w:spacing w:before="0" w:beforeAutospacing="0" w:after="120" w:afterAutospacing="0" w:line="276" w:lineRule="auto"/>
              <w:textAlignment w:val="baseline"/>
              <w:rPr>
                <w:rStyle w:val="eop"/>
                <w:rFonts w:cstheme="minorHAnsi"/>
              </w:rPr>
            </w:pPr>
            <w:r w:rsidRPr="00992C2B">
              <w:rPr>
                <w:rStyle w:val="normaltextrun"/>
                <w:rFonts w:asciiTheme="minorHAnsi" w:hAnsiTheme="minorHAnsi"/>
                <w:b/>
                <w:i/>
                <w:color w:val="000000"/>
                <w:sz w:val="22"/>
                <w:szCs w:val="22"/>
              </w:rPr>
              <w:t xml:space="preserve">Question </w:t>
            </w:r>
            <w:r>
              <w:rPr>
                <w:rStyle w:val="normaltextrun"/>
                <w:rFonts w:asciiTheme="minorHAnsi" w:hAnsiTheme="minorHAnsi"/>
                <w:b/>
                <w:i/>
                <w:color w:val="000000"/>
                <w:sz w:val="22"/>
                <w:szCs w:val="22"/>
              </w:rPr>
              <w:t>7</w:t>
            </w:r>
            <w:r w:rsidRPr="00992C2B">
              <w:rPr>
                <w:rStyle w:val="normaltextrun"/>
                <w:rFonts w:asciiTheme="minorHAnsi" w:hAnsiTheme="minorHAnsi"/>
                <w:b/>
                <w:i/>
                <w:color w:val="000000"/>
                <w:sz w:val="22"/>
                <w:szCs w:val="22"/>
              </w:rPr>
              <w:t>b</w:t>
            </w:r>
            <w:r w:rsidRPr="001D107F">
              <w:rPr>
                <w:rStyle w:val="normaltextrun"/>
                <w:rFonts w:asciiTheme="minorHAnsi" w:hAnsiTheme="minorHAnsi"/>
                <w:b/>
                <w:i/>
                <w:color w:val="000000"/>
                <w:sz w:val="22"/>
                <w:szCs w:val="22"/>
              </w:rPr>
              <w:t>: If not, what specific alternate approach do you recommend? Please provide a clear rationale and any additional details you believe should be incorporated into the DSB’s approach</w:t>
            </w:r>
            <w:r w:rsidRPr="00FE15F7">
              <w:rPr>
                <w:rStyle w:val="normaltextrun"/>
                <w:rFonts w:asciiTheme="minorHAnsi" w:hAnsiTheme="minorHAnsi"/>
                <w:b/>
                <w:bCs/>
                <w:i/>
                <w:iCs/>
                <w:color w:val="000000"/>
                <w:sz w:val="22"/>
                <w:szCs w:val="22"/>
              </w:rPr>
              <w:t>.</w:t>
            </w:r>
          </w:p>
        </w:tc>
        <w:tc>
          <w:tcPr>
            <w:tcW w:w="4395" w:type="dxa"/>
            <w:vAlign w:val="center"/>
          </w:tcPr>
          <w:p w:rsidRPr="00DB7576" w:rsidR="00DE1710" w:rsidP="005D5CA5" w:rsidRDefault="00DE1710" w14:paraId="21168713" w14:textId="77777777">
            <w:pPr>
              <w:rPr>
                <w:rFonts w:cstheme="minorHAnsi"/>
              </w:rPr>
            </w:pPr>
          </w:p>
        </w:tc>
      </w:tr>
      <w:tr w:rsidRPr="00DB7576" w:rsidR="00DE1710" w:rsidTr="005D5CA5" w14:paraId="6245D91E" w14:textId="77777777">
        <w:trPr>
          <w:trHeight w:val="567"/>
        </w:trPr>
        <w:tc>
          <w:tcPr>
            <w:tcW w:w="704" w:type="dxa"/>
            <w:vAlign w:val="center"/>
          </w:tcPr>
          <w:p w:rsidR="00DE1710" w:rsidDel="00DE1710" w:rsidP="005D5CA5" w:rsidRDefault="00DE1710" w14:paraId="13E70E6E" w14:textId="73423EAB">
            <w:pPr>
              <w:jc w:val="center"/>
              <w:rPr>
                <w:rFonts w:cstheme="minorHAnsi"/>
              </w:rPr>
            </w:pPr>
            <w:r>
              <w:rPr>
                <w:rFonts w:cstheme="minorHAnsi"/>
              </w:rPr>
              <w:t>8</w:t>
            </w:r>
          </w:p>
        </w:tc>
        <w:tc>
          <w:tcPr>
            <w:tcW w:w="3827" w:type="dxa"/>
            <w:vAlign w:val="center"/>
          </w:tcPr>
          <w:p w:rsidR="00F8316A" w:rsidP="00F8316A" w:rsidRDefault="00F8316A" w14:paraId="738CDBFE" w14:textId="77777777">
            <w:pPr>
              <w:spacing w:before="240"/>
              <w:rPr>
                <w:rStyle w:val="normaltextrun"/>
                <w:rFonts w:ascii="Calibri" w:hAnsi="Calibri" w:cs="Calibri"/>
                <w:b/>
                <w:i/>
                <w:color w:val="000000"/>
              </w:rPr>
            </w:pPr>
            <w:r>
              <w:rPr>
                <w:rStyle w:val="normaltextrun"/>
                <w:rFonts w:ascii="Calibri" w:hAnsi="Calibri" w:cs="Calibri"/>
                <w:b/>
                <w:bCs/>
                <w:color w:val="000000"/>
              </w:rPr>
              <w:t>Summary:</w:t>
            </w:r>
            <w:r>
              <w:rPr>
                <w:rStyle w:val="normaltextrun"/>
                <w:rFonts w:ascii="Calibri" w:hAnsi="Calibri" w:cs="Calibri"/>
                <w:b/>
                <w:color w:val="000000"/>
              </w:rPr>
              <w:t xml:space="preserve"> </w:t>
            </w:r>
            <w:r>
              <w:rPr>
                <w:rFonts w:cstheme="minorHAnsi"/>
              </w:rPr>
              <w:t>The DSB’s proposal for treatment of the repayment of capital expenditure (Capex) is to remain consistent with standard industry practice for projects of this size and nature, which is a repayment period of four years.  This approach is consistent with the DSB’s existing practice for existing services.</w:t>
            </w:r>
          </w:p>
          <w:p w:rsidRPr="001D107F" w:rsidR="00F8316A" w:rsidP="00F8316A" w:rsidRDefault="00F8316A" w14:paraId="7DE08BD7" w14:textId="59A49CCA">
            <w:pPr>
              <w:pStyle w:val="NormalWeb"/>
              <w:shd w:val="clear" w:color="auto" w:fill="FFFFFF" w:themeFill="background1"/>
              <w:spacing w:after="120" w:line="276" w:lineRule="auto"/>
              <w:textAlignment w:val="baseline"/>
              <w:rPr>
                <w:rStyle w:val="normaltextrun"/>
                <w:rFonts w:asciiTheme="minorHAnsi" w:hAnsiTheme="minorHAnsi"/>
                <w:b/>
                <w:i/>
                <w:color w:val="000000"/>
                <w:sz w:val="22"/>
                <w:szCs w:val="22"/>
              </w:rPr>
            </w:pPr>
            <w:r w:rsidRPr="001D107F">
              <w:rPr>
                <w:rStyle w:val="normaltextrun"/>
                <w:rFonts w:asciiTheme="minorHAnsi" w:hAnsiTheme="minorHAnsi"/>
                <w:b/>
                <w:i/>
                <w:color w:val="000000"/>
                <w:sz w:val="22"/>
                <w:szCs w:val="22"/>
              </w:rPr>
              <w:t xml:space="preserve">Question </w:t>
            </w:r>
            <w:r>
              <w:rPr>
                <w:rStyle w:val="normaltextrun"/>
                <w:rFonts w:asciiTheme="minorHAnsi" w:hAnsiTheme="minorHAnsi"/>
                <w:b/>
                <w:i/>
                <w:color w:val="000000"/>
                <w:sz w:val="22"/>
                <w:szCs w:val="22"/>
              </w:rPr>
              <w:t>8</w:t>
            </w:r>
            <w:r w:rsidRPr="001D107F">
              <w:rPr>
                <w:rStyle w:val="normaltextrun"/>
                <w:rFonts w:asciiTheme="minorHAnsi" w:hAnsiTheme="minorHAnsi"/>
                <w:b/>
                <w:i/>
                <w:color w:val="000000"/>
                <w:sz w:val="22"/>
                <w:szCs w:val="22"/>
              </w:rPr>
              <w:t>a: Do you concur with this approach</w:t>
            </w:r>
            <w:r>
              <w:rPr>
                <w:rStyle w:val="normaltextrun"/>
                <w:rFonts w:asciiTheme="minorHAnsi" w:hAnsiTheme="minorHAnsi"/>
                <w:b/>
                <w:i/>
                <w:color w:val="000000"/>
                <w:sz w:val="22"/>
                <w:szCs w:val="22"/>
              </w:rPr>
              <w:t xml:space="preserve"> to </w:t>
            </w:r>
            <w:proofErr w:type="spellStart"/>
            <w:r>
              <w:rPr>
                <w:rStyle w:val="normaltextrun"/>
                <w:rFonts w:asciiTheme="minorHAnsi" w:hAnsiTheme="minorHAnsi"/>
                <w:b/>
                <w:i/>
                <w:color w:val="000000"/>
                <w:sz w:val="22"/>
                <w:szCs w:val="22"/>
              </w:rPr>
              <w:t>amortisation</w:t>
            </w:r>
            <w:proofErr w:type="spellEnd"/>
            <w:r>
              <w:rPr>
                <w:rStyle w:val="normaltextrun"/>
                <w:rFonts w:asciiTheme="minorHAnsi" w:hAnsiTheme="minorHAnsi"/>
                <w:b/>
                <w:i/>
                <w:color w:val="000000"/>
                <w:sz w:val="22"/>
                <w:szCs w:val="22"/>
              </w:rPr>
              <w:t xml:space="preserve"> of capital expenditure</w:t>
            </w:r>
            <w:r w:rsidRPr="001D107F">
              <w:rPr>
                <w:rStyle w:val="normaltextrun"/>
                <w:rFonts w:asciiTheme="minorHAnsi" w:hAnsiTheme="minorHAnsi"/>
                <w:b/>
                <w:i/>
                <w:color w:val="000000"/>
                <w:sz w:val="22"/>
                <w:szCs w:val="22"/>
              </w:rPr>
              <w:t xml:space="preserve">? </w:t>
            </w:r>
          </w:p>
          <w:p w:rsidRPr="001D107F" w:rsidR="00F8316A" w:rsidP="00F8316A" w:rsidRDefault="00F8316A" w14:paraId="2A61BEF4" w14:textId="77777777">
            <w:pPr>
              <w:rPr>
                <w:rStyle w:val="normaltextrun"/>
                <w:rFonts w:cstheme="minorHAnsi"/>
                <w:b/>
                <w:color w:val="0070C0"/>
                <w:lang w:eastAsia="ja-JP"/>
              </w:rPr>
            </w:pPr>
            <w:r w:rsidRPr="001D107F">
              <w:rPr>
                <w:rStyle w:val="normaltextrun"/>
                <w:b/>
                <w:i/>
                <w:color w:val="000000"/>
              </w:rPr>
              <w:t xml:space="preserve">Question </w:t>
            </w:r>
            <w:r>
              <w:rPr>
                <w:rStyle w:val="normaltextrun"/>
                <w:b/>
                <w:i/>
                <w:color w:val="000000"/>
              </w:rPr>
              <w:t>8</w:t>
            </w:r>
            <w:r w:rsidRPr="001D107F">
              <w:rPr>
                <w:rStyle w:val="normaltextrun"/>
                <w:b/>
                <w:i/>
                <w:color w:val="000000"/>
              </w:rPr>
              <w:t>b: If not, what specific alternate approach do you recommend? Please provide a clear rationale and  any additional details you believe should be incorporated into the DSB’s approach.</w:t>
            </w:r>
          </w:p>
          <w:p w:rsidRPr="00DB7576" w:rsidR="00DE1710" w:rsidP="005D5CA5" w:rsidRDefault="00DE1710" w14:paraId="22213AF3" w14:textId="77777777">
            <w:pPr>
              <w:rPr>
                <w:rStyle w:val="eop"/>
                <w:rFonts w:cstheme="minorHAnsi"/>
              </w:rPr>
            </w:pPr>
          </w:p>
        </w:tc>
        <w:tc>
          <w:tcPr>
            <w:tcW w:w="4395" w:type="dxa"/>
            <w:vAlign w:val="center"/>
          </w:tcPr>
          <w:p w:rsidRPr="00DB7576" w:rsidR="00DE1710" w:rsidP="005D5CA5" w:rsidRDefault="00DE1710" w14:paraId="6FDF3D76" w14:textId="77777777">
            <w:pPr>
              <w:rPr>
                <w:rFonts w:cstheme="minorHAnsi"/>
              </w:rPr>
            </w:pPr>
          </w:p>
        </w:tc>
      </w:tr>
      <w:tr w:rsidRPr="00DB7576" w:rsidR="00E26E24" w:rsidTr="005D5CA5" w14:paraId="1985573D" w14:textId="77777777">
        <w:trPr>
          <w:trHeight w:val="567"/>
        </w:trPr>
        <w:tc>
          <w:tcPr>
            <w:tcW w:w="704" w:type="dxa"/>
            <w:vAlign w:val="center"/>
          </w:tcPr>
          <w:p w:rsidR="00E26E24" w:rsidDel="00DE1710" w:rsidP="00E26E24" w:rsidRDefault="00E26E24" w14:paraId="247F5BD7" w14:textId="4F6B13D1">
            <w:pPr>
              <w:jc w:val="center"/>
              <w:rPr>
                <w:rFonts w:cstheme="minorHAnsi"/>
              </w:rPr>
            </w:pPr>
            <w:r>
              <w:rPr>
                <w:rFonts w:cstheme="minorHAnsi"/>
              </w:rPr>
              <w:t>9</w:t>
            </w:r>
          </w:p>
        </w:tc>
        <w:tc>
          <w:tcPr>
            <w:tcW w:w="3827" w:type="dxa"/>
            <w:vAlign w:val="center"/>
          </w:tcPr>
          <w:p w:rsidR="00E26E24" w:rsidP="0005407D" w:rsidRDefault="00E26E24" w14:paraId="5B461204" w14:textId="77777777">
            <w:pPr>
              <w:spacing w:before="240"/>
              <w:rPr>
                <w:rStyle w:val="eop"/>
                <w:rFonts w:cstheme="minorHAnsi"/>
              </w:rPr>
            </w:pPr>
            <w:r w:rsidRPr="00DB7576">
              <w:rPr>
                <w:rStyle w:val="eop"/>
                <w:rFonts w:cstheme="minorHAnsi"/>
              </w:rPr>
              <w:t>Please use this space for any other comments you wish to provide.</w:t>
            </w:r>
          </w:p>
          <w:p w:rsidRPr="00DB7576" w:rsidR="0005407D" w:rsidP="0005407D" w:rsidRDefault="0005407D" w14:paraId="44F3187A" w14:textId="1E5FC645">
            <w:pPr>
              <w:spacing w:before="240"/>
              <w:rPr>
                <w:rStyle w:val="eop"/>
                <w:rFonts w:cstheme="minorHAnsi"/>
              </w:rPr>
            </w:pPr>
          </w:p>
        </w:tc>
        <w:tc>
          <w:tcPr>
            <w:tcW w:w="4395" w:type="dxa"/>
            <w:vAlign w:val="center"/>
          </w:tcPr>
          <w:p w:rsidRPr="00DB7576" w:rsidR="00E26E24" w:rsidP="00E26E24" w:rsidRDefault="00E26E24" w14:paraId="3CFEE433" w14:textId="77777777">
            <w:pPr>
              <w:rPr>
                <w:rFonts w:cstheme="minorHAnsi"/>
              </w:rPr>
            </w:pPr>
          </w:p>
        </w:tc>
      </w:tr>
    </w:tbl>
    <w:p w:rsidR="00F73E49" w:rsidP="00AB4C9D" w:rsidRDefault="00F73E49" w14:paraId="407D250F" w14:textId="77777777">
      <w:pPr>
        <w:rPr>
          <w:rFonts w:asciiTheme="majorHAnsi" w:hAnsiTheme="majorHAnsi" w:eastAsiaTheme="majorEastAsia" w:cstheme="majorBidi"/>
          <w:color w:val="365F91" w:themeColor="accent1" w:themeShade="BF"/>
          <w:sz w:val="32"/>
          <w:szCs w:val="32"/>
        </w:rPr>
      </w:pPr>
    </w:p>
    <w:p w:rsidRPr="000876F3" w:rsidR="003939DE" w:rsidP="000876F3" w:rsidRDefault="003939DE" w14:paraId="343A974B" w14:textId="4DA33247">
      <w:pPr>
        <w:rPr>
          <w:rFonts w:asciiTheme="majorHAnsi" w:hAnsiTheme="majorHAnsi"/>
          <w:color w:val="365F91" w:themeColor="accent1" w:themeShade="BF"/>
          <w:sz w:val="32"/>
        </w:rPr>
      </w:pPr>
    </w:p>
    <w:sectPr w:rsidRPr="000876F3" w:rsidR="003939DE" w:rsidSect="00AB4C9D">
      <w:footerReference w:type="default" r:id="rId32"/>
      <w:headerReference w:type="first" r:id="rId33"/>
      <w:footerReference w:type="first" r:id="rId34"/>
      <w:pgSz w:w="11906" w:h="16838"/>
      <w:pgMar w:top="1440" w:right="1440" w:bottom="1276" w:left="1440" w:header="708" w:footer="1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1370F" w:rsidP="006308B0" w:rsidRDefault="00A1370F" w14:paraId="1F9409AA" w14:textId="77777777">
      <w:pPr>
        <w:spacing w:after="0" w:line="240" w:lineRule="auto"/>
      </w:pPr>
      <w:r>
        <w:separator/>
      </w:r>
    </w:p>
  </w:endnote>
  <w:endnote w:type="continuationSeparator" w:id="0">
    <w:p w:rsidR="00A1370F" w:rsidP="006308B0" w:rsidRDefault="00A1370F" w14:paraId="6F76B9FC" w14:textId="77777777">
      <w:pPr>
        <w:spacing w:after="0" w:line="240" w:lineRule="auto"/>
      </w:pPr>
      <w:r>
        <w:continuationSeparator/>
      </w:r>
    </w:p>
  </w:endnote>
  <w:endnote w:type="continuationNotice" w:id="1">
    <w:p w:rsidR="00A1370F" w:rsidRDefault="00A1370F" w14:paraId="3400160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05"/>
      <w:gridCol w:w="3005"/>
      <w:gridCol w:w="3006"/>
    </w:tblGrid>
    <w:tr w:rsidRPr="001630DD" w:rsidR="006C6899" w:rsidTr="00263331" w14:paraId="2351B21C" w14:textId="77777777">
      <w:tc>
        <w:tcPr>
          <w:tcW w:w="3005" w:type="dxa"/>
          <w:shd w:val="clear" w:color="auto" w:fill="auto"/>
        </w:tcPr>
        <w:p w:rsidRPr="001630DD" w:rsidR="006C6899" w:rsidP="006C6899" w:rsidRDefault="006C6899" w14:paraId="6B9D802D" w14:textId="77777777">
          <w:pPr>
            <w:pStyle w:val="Footer"/>
            <w:rPr>
              <w:color w:val="000000" w:themeColor="text1"/>
              <w:sz w:val="18"/>
            </w:rPr>
          </w:pPr>
          <w:r w:rsidRPr="001630DD">
            <w:rPr>
              <w:color w:val="000000" w:themeColor="text1"/>
              <w:sz w:val="18"/>
            </w:rPr>
            <w:t>©DSB 20</w:t>
          </w:r>
          <w:r>
            <w:rPr>
              <w:color w:val="000000" w:themeColor="text1"/>
              <w:sz w:val="18"/>
            </w:rPr>
            <w:t>21</w:t>
          </w:r>
        </w:p>
      </w:tc>
      <w:tc>
        <w:tcPr>
          <w:tcW w:w="3005" w:type="dxa"/>
          <w:shd w:val="clear" w:color="auto" w:fill="auto"/>
        </w:tcPr>
        <w:p w:rsidRPr="001630DD" w:rsidR="006C6899" w:rsidP="006C6899" w:rsidRDefault="006C6899" w14:paraId="144B2766" w14:textId="77777777">
          <w:pPr>
            <w:pStyle w:val="Footer"/>
            <w:jc w:val="center"/>
            <w:rPr>
              <w:color w:val="000000" w:themeColor="text1"/>
              <w:sz w:val="18"/>
            </w:rPr>
          </w:pPr>
          <w:r>
            <w:rPr>
              <w:color w:val="000000" w:themeColor="text1"/>
              <w:sz w:val="18"/>
            </w:rPr>
            <w:t>Consultation Paper – response deadline is 5pm UTC on 9</w:t>
          </w:r>
          <w:r w:rsidRPr="002671B5">
            <w:rPr>
              <w:color w:val="000000" w:themeColor="text1"/>
              <w:sz w:val="18"/>
              <w:vertAlign w:val="superscript"/>
            </w:rPr>
            <w:t>th</w:t>
          </w:r>
          <w:r>
            <w:rPr>
              <w:color w:val="000000" w:themeColor="text1"/>
              <w:sz w:val="18"/>
            </w:rPr>
            <w:t xml:space="preserve"> July 2021</w:t>
          </w:r>
        </w:p>
      </w:tc>
      <w:tc>
        <w:tcPr>
          <w:tcW w:w="3006" w:type="dxa"/>
          <w:shd w:val="clear" w:color="auto" w:fill="auto"/>
        </w:tcPr>
        <w:p w:rsidRPr="001630DD" w:rsidR="006C6899" w:rsidP="006C6899" w:rsidRDefault="006C6899" w14:paraId="22334102" w14:textId="77777777">
          <w:pPr>
            <w:pStyle w:val="Footer"/>
            <w:jc w:val="right"/>
            <w:rPr>
              <w:color w:val="000000" w:themeColor="text1"/>
              <w:sz w:val="18"/>
            </w:rPr>
          </w:pPr>
          <w:r w:rsidRPr="001630DD">
            <w:rPr>
              <w:color w:val="000000" w:themeColor="text1"/>
              <w:sz w:val="18"/>
            </w:rPr>
            <w:t xml:space="preserve">Page | </w:t>
          </w:r>
          <w:r w:rsidRPr="001630DD">
            <w:rPr>
              <w:color w:val="000000" w:themeColor="text1"/>
              <w:sz w:val="18"/>
            </w:rPr>
            <w:fldChar w:fldCharType="begin"/>
          </w:r>
          <w:r w:rsidRPr="001630DD">
            <w:rPr>
              <w:color w:val="000000" w:themeColor="text1"/>
              <w:sz w:val="18"/>
            </w:rPr>
            <w:instrText xml:space="preserve"> PAGE   \* MERGEFORMAT </w:instrText>
          </w:r>
          <w:r w:rsidRPr="001630DD">
            <w:rPr>
              <w:color w:val="000000" w:themeColor="text1"/>
              <w:sz w:val="18"/>
            </w:rPr>
            <w:fldChar w:fldCharType="separate"/>
          </w:r>
          <w:r>
            <w:rPr>
              <w:color w:val="000000" w:themeColor="text1"/>
              <w:sz w:val="18"/>
            </w:rPr>
            <w:t>5</w:t>
          </w:r>
          <w:r w:rsidRPr="001630DD">
            <w:rPr>
              <w:noProof/>
              <w:color w:val="000000" w:themeColor="text1"/>
              <w:sz w:val="18"/>
            </w:rPr>
            <w:fldChar w:fldCharType="end"/>
          </w:r>
        </w:p>
      </w:tc>
    </w:tr>
  </w:tbl>
  <w:p w:rsidR="006C6899" w:rsidRDefault="006C6899" w14:paraId="0A07C7D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009"/>
      <w:gridCol w:w="3009"/>
      <w:gridCol w:w="3009"/>
    </w:tblGrid>
    <w:tr w:rsidR="00C466DA" w:rsidTr="75828AE8" w14:paraId="3E3C5C62" w14:textId="77777777">
      <w:tc>
        <w:tcPr>
          <w:tcW w:w="3009" w:type="dxa"/>
        </w:tcPr>
        <w:p w:rsidR="00C466DA" w:rsidP="75828AE8" w:rsidRDefault="00C466DA" w14:paraId="4D5741C3" w14:textId="77777777">
          <w:pPr>
            <w:pStyle w:val="Header"/>
            <w:ind w:left="-115"/>
          </w:pPr>
        </w:p>
      </w:tc>
      <w:tc>
        <w:tcPr>
          <w:tcW w:w="3009" w:type="dxa"/>
        </w:tcPr>
        <w:p w:rsidR="00C466DA" w:rsidP="75828AE8" w:rsidRDefault="00C466DA" w14:paraId="2782AFC1" w14:textId="77777777">
          <w:pPr>
            <w:pStyle w:val="Header"/>
            <w:jc w:val="center"/>
          </w:pPr>
        </w:p>
      </w:tc>
      <w:tc>
        <w:tcPr>
          <w:tcW w:w="3009" w:type="dxa"/>
        </w:tcPr>
        <w:p w:rsidR="00C466DA" w:rsidP="75828AE8" w:rsidRDefault="00C466DA" w14:paraId="5B9D57C1" w14:textId="77777777">
          <w:pPr>
            <w:pStyle w:val="Header"/>
            <w:ind w:right="-115"/>
            <w:jc w:val="right"/>
          </w:pPr>
        </w:p>
      </w:tc>
    </w:tr>
  </w:tbl>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05"/>
      <w:gridCol w:w="3005"/>
      <w:gridCol w:w="3006"/>
    </w:tblGrid>
    <w:tr w:rsidRPr="001630DD" w:rsidR="00AE66B5" w:rsidTr="004A42B7" w14:paraId="1ECE5065" w14:textId="77777777">
      <w:tc>
        <w:tcPr>
          <w:tcW w:w="3005" w:type="dxa"/>
          <w:shd w:val="clear" w:color="auto" w:fill="auto"/>
        </w:tcPr>
        <w:p w:rsidRPr="001630DD" w:rsidR="00AE66B5" w:rsidP="00AE66B5" w:rsidRDefault="00AE66B5" w14:paraId="2CB0EA34" w14:textId="77777777">
          <w:pPr>
            <w:pStyle w:val="Footer"/>
            <w:rPr>
              <w:color w:val="000000" w:themeColor="text1"/>
              <w:sz w:val="18"/>
            </w:rPr>
          </w:pPr>
          <w:r w:rsidRPr="001630DD">
            <w:rPr>
              <w:color w:val="000000" w:themeColor="text1"/>
              <w:sz w:val="18"/>
            </w:rPr>
            <w:t>©DSB 20</w:t>
          </w:r>
          <w:r>
            <w:rPr>
              <w:color w:val="000000" w:themeColor="text1"/>
              <w:sz w:val="18"/>
            </w:rPr>
            <w:t>2</w:t>
          </w:r>
          <w:r w:rsidR="001B635C">
            <w:rPr>
              <w:color w:val="000000" w:themeColor="text1"/>
              <w:sz w:val="18"/>
            </w:rPr>
            <w:t>1</w:t>
          </w:r>
        </w:p>
      </w:tc>
      <w:tc>
        <w:tcPr>
          <w:tcW w:w="3005" w:type="dxa"/>
          <w:shd w:val="clear" w:color="auto" w:fill="auto"/>
        </w:tcPr>
        <w:p w:rsidRPr="001630DD" w:rsidR="00AE66B5" w:rsidP="00AE66B5" w:rsidRDefault="00AE66B5" w14:paraId="1A159520" w14:textId="77777777">
          <w:pPr>
            <w:pStyle w:val="Footer"/>
            <w:jc w:val="center"/>
            <w:rPr>
              <w:color w:val="000000" w:themeColor="text1"/>
              <w:sz w:val="18"/>
            </w:rPr>
          </w:pPr>
          <w:r>
            <w:rPr>
              <w:color w:val="000000" w:themeColor="text1"/>
              <w:sz w:val="18"/>
            </w:rPr>
            <w:t>Consultation Paper – response deadline is 5pm UTC on</w:t>
          </w:r>
          <w:r w:rsidR="00E44D6E">
            <w:rPr>
              <w:color w:val="000000" w:themeColor="text1"/>
              <w:sz w:val="18"/>
            </w:rPr>
            <w:t xml:space="preserve"> </w:t>
          </w:r>
          <w:r w:rsidR="002671B5">
            <w:rPr>
              <w:color w:val="000000" w:themeColor="text1"/>
              <w:sz w:val="18"/>
            </w:rPr>
            <w:t>9</w:t>
          </w:r>
          <w:r w:rsidRPr="002671B5" w:rsidR="002671B5">
            <w:rPr>
              <w:color w:val="000000" w:themeColor="text1"/>
              <w:sz w:val="18"/>
              <w:vertAlign w:val="superscript"/>
            </w:rPr>
            <w:t>th</w:t>
          </w:r>
          <w:r w:rsidR="002671B5">
            <w:rPr>
              <w:color w:val="000000" w:themeColor="text1"/>
              <w:sz w:val="18"/>
            </w:rPr>
            <w:t xml:space="preserve"> </w:t>
          </w:r>
          <w:r w:rsidR="006C543D">
            <w:rPr>
              <w:color w:val="000000" w:themeColor="text1"/>
              <w:sz w:val="18"/>
            </w:rPr>
            <w:t xml:space="preserve">July </w:t>
          </w:r>
          <w:r>
            <w:rPr>
              <w:color w:val="000000" w:themeColor="text1"/>
              <w:sz w:val="18"/>
            </w:rPr>
            <w:t>202</w:t>
          </w:r>
          <w:r w:rsidR="00E44D6E">
            <w:rPr>
              <w:color w:val="000000" w:themeColor="text1"/>
              <w:sz w:val="18"/>
            </w:rPr>
            <w:t>1</w:t>
          </w:r>
        </w:p>
      </w:tc>
      <w:tc>
        <w:tcPr>
          <w:tcW w:w="3006" w:type="dxa"/>
          <w:shd w:val="clear" w:color="auto" w:fill="auto"/>
        </w:tcPr>
        <w:p w:rsidRPr="001630DD" w:rsidR="00AE66B5" w:rsidP="00AE66B5" w:rsidRDefault="00AE66B5" w14:paraId="4906A3FF" w14:textId="77777777">
          <w:pPr>
            <w:pStyle w:val="Footer"/>
            <w:jc w:val="right"/>
            <w:rPr>
              <w:color w:val="000000" w:themeColor="text1"/>
              <w:sz w:val="18"/>
            </w:rPr>
          </w:pPr>
          <w:r w:rsidRPr="001630DD">
            <w:rPr>
              <w:color w:val="000000" w:themeColor="text1"/>
              <w:sz w:val="18"/>
            </w:rPr>
            <w:t xml:space="preserve">Page | </w:t>
          </w:r>
          <w:r w:rsidRPr="001630DD">
            <w:rPr>
              <w:color w:val="000000" w:themeColor="text1"/>
              <w:sz w:val="18"/>
            </w:rPr>
            <w:fldChar w:fldCharType="begin"/>
          </w:r>
          <w:r w:rsidRPr="001630DD">
            <w:rPr>
              <w:color w:val="000000" w:themeColor="text1"/>
              <w:sz w:val="18"/>
            </w:rPr>
            <w:instrText xml:space="preserve"> PAGE   \* MERGEFORMAT </w:instrText>
          </w:r>
          <w:r w:rsidRPr="001630DD">
            <w:rPr>
              <w:color w:val="000000" w:themeColor="text1"/>
              <w:sz w:val="18"/>
            </w:rPr>
            <w:fldChar w:fldCharType="separate"/>
          </w:r>
          <w:r>
            <w:rPr>
              <w:color w:val="000000" w:themeColor="text1"/>
              <w:sz w:val="18"/>
            </w:rPr>
            <w:t>5</w:t>
          </w:r>
          <w:r w:rsidRPr="001630DD">
            <w:rPr>
              <w:noProof/>
              <w:color w:val="000000" w:themeColor="text1"/>
              <w:sz w:val="18"/>
            </w:rPr>
            <w:fldChar w:fldCharType="end"/>
          </w:r>
        </w:p>
      </w:tc>
    </w:tr>
  </w:tbl>
  <w:p w:rsidR="00AE66B5" w:rsidP="00AE66B5" w:rsidRDefault="00AE66B5" w14:paraId="6BEEF59A" w14:textId="77777777">
    <w:pPr>
      <w:pStyle w:val="Footer"/>
    </w:pPr>
  </w:p>
  <w:p w:rsidR="00AB4C9D" w:rsidRDefault="00AB4C9D" w14:paraId="6DEC2BA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1370F" w:rsidP="006308B0" w:rsidRDefault="00A1370F" w14:paraId="3300BDDC" w14:textId="77777777">
      <w:pPr>
        <w:spacing w:after="0" w:line="240" w:lineRule="auto"/>
      </w:pPr>
      <w:r>
        <w:separator/>
      </w:r>
    </w:p>
  </w:footnote>
  <w:footnote w:type="continuationSeparator" w:id="0">
    <w:p w:rsidR="00A1370F" w:rsidP="006308B0" w:rsidRDefault="00A1370F" w14:paraId="60461B48" w14:textId="77777777">
      <w:pPr>
        <w:spacing w:after="0" w:line="240" w:lineRule="auto"/>
      </w:pPr>
      <w:r>
        <w:continuationSeparator/>
      </w:r>
    </w:p>
  </w:footnote>
  <w:footnote w:type="continuationNotice" w:id="1">
    <w:p w:rsidR="00A1370F" w:rsidRDefault="00A1370F" w14:paraId="75203959" w14:textId="77777777">
      <w:pPr>
        <w:spacing w:after="0" w:line="240" w:lineRule="auto"/>
      </w:pPr>
    </w:p>
  </w:footnote>
  <w:footnote w:id="2">
    <w:p w:rsidR="00A15C81" w:rsidP="00F73E49" w:rsidRDefault="00A15C81" w14:paraId="3D4C191A" w14:textId="77777777">
      <w:pPr>
        <w:pStyle w:val="FootnoteText"/>
      </w:pPr>
      <w:r>
        <w:rPr>
          <w:rStyle w:val="FootnoteReference"/>
        </w:rPr>
        <w:footnoteRef/>
      </w:r>
      <w:r>
        <w:t xml:space="preserve"> </w:t>
      </w:r>
      <w:hyperlink w:history="1" r:id="rId1">
        <w:r>
          <w:rPr>
            <w:rStyle w:val="Hyperlink"/>
          </w:rPr>
          <w:t>https://www.fsb.org/2019/05/fsb-designates-dsb-as-unique-product-identifier-upi-service-provider/</w:t>
        </w:r>
      </w:hyperlink>
      <w:r>
        <w:t xml:space="preserve"> </w:t>
      </w:r>
    </w:p>
  </w:footnote>
  <w:footnote w:id="3">
    <w:p w:rsidR="00A15C81" w:rsidP="00F73E49" w:rsidRDefault="00A15C81" w14:paraId="2B6BBE2F" w14:textId="77777777">
      <w:pPr>
        <w:pStyle w:val="FootnoteText"/>
      </w:pPr>
      <w:r>
        <w:rPr>
          <w:rStyle w:val="FootnoteReference"/>
        </w:rPr>
        <w:footnoteRef/>
      </w:r>
      <w:r>
        <w:t xml:space="preserve"> </w:t>
      </w:r>
      <w:r w:rsidRPr="001D5B1D">
        <w:rPr>
          <w:rStyle w:val="Hyperlink"/>
        </w:rPr>
        <w:t>https://www.fsb.org/wp-content/uploads/r_140919.pdf</w:t>
      </w:r>
      <w:r>
        <w:t xml:space="preserve"> </w:t>
      </w:r>
    </w:p>
  </w:footnote>
  <w:footnote w:id="4">
    <w:p w:rsidR="00CB073D" w:rsidRDefault="00CB073D" w14:paraId="36E1C67B" w14:textId="35016011">
      <w:pPr>
        <w:pStyle w:val="FootnoteText"/>
      </w:pPr>
      <w:r>
        <w:rPr>
          <w:rStyle w:val="FootnoteReference"/>
        </w:rPr>
        <w:footnoteRef/>
      </w:r>
      <w:r>
        <w:t xml:space="preserve"> Please refer to section </w:t>
      </w:r>
      <w:r>
        <w:fldChar w:fldCharType="begin"/>
      </w:r>
      <w:r>
        <w:instrText xml:space="preserve"> REF _Ref71218652 \r \h </w:instrText>
      </w:r>
      <w:r>
        <w:fldChar w:fldCharType="separate"/>
      </w:r>
      <w:r>
        <w:t>5.2.1</w:t>
      </w:r>
      <w:r>
        <w:fldChar w:fldCharType="end"/>
      </w:r>
      <w:r>
        <w:t xml:space="preserve"> of this paper</w:t>
      </w:r>
    </w:p>
  </w:footnote>
  <w:footnote w:id="5">
    <w:p w:rsidR="00B130E5" w:rsidRDefault="00B130E5" w14:paraId="0B487C3F" w14:textId="6133E2BB">
      <w:pPr>
        <w:pStyle w:val="FootnoteText"/>
      </w:pPr>
      <w:r>
        <w:rPr>
          <w:rStyle w:val="FootnoteReference"/>
        </w:rPr>
        <w:footnoteRef/>
      </w:r>
      <w:r>
        <w:t xml:space="preserve"> Please refer to section </w:t>
      </w:r>
      <w:r>
        <w:fldChar w:fldCharType="begin"/>
      </w:r>
      <w:r>
        <w:instrText xml:space="preserve"> REF _Ref71364307 \r \h </w:instrText>
      </w:r>
      <w:r>
        <w:fldChar w:fldCharType="separate"/>
      </w:r>
      <w:r>
        <w:t>4.6</w:t>
      </w:r>
      <w:r>
        <w:fldChar w:fldCharType="end"/>
      </w:r>
      <w:r>
        <w:t xml:space="preserve"> of this paper</w:t>
      </w:r>
    </w:p>
  </w:footnote>
  <w:footnote w:id="6">
    <w:p w:rsidR="004667BA" w:rsidRDefault="004667BA" w14:paraId="5E7E6981" w14:textId="3576D1A9">
      <w:pPr>
        <w:pStyle w:val="FootnoteText"/>
      </w:pPr>
      <w:r>
        <w:rPr>
          <w:rStyle w:val="FootnoteReference"/>
        </w:rPr>
        <w:footnoteRef/>
      </w:r>
      <w:r>
        <w:t xml:space="preserve"> </w:t>
      </w:r>
      <w:hyperlink w:history="1" r:id="rId2">
        <w:r w:rsidRPr="00CB1460">
          <w:rPr>
            <w:rStyle w:val="Hyperlink"/>
          </w:rPr>
          <w:t>https://www.anna-dsb.com/download/upi-faq/</w:t>
        </w:r>
      </w:hyperlink>
      <w:r>
        <w:t xml:space="preserve"> </w:t>
      </w:r>
    </w:p>
  </w:footnote>
  <w:footnote w:id="7">
    <w:p w:rsidR="00594699" w:rsidRDefault="00594699" w14:paraId="2A0ACAF5" w14:textId="5EC93695">
      <w:pPr>
        <w:pStyle w:val="FootnoteText"/>
      </w:pPr>
      <w:r>
        <w:rPr>
          <w:rStyle w:val="FootnoteReference"/>
        </w:rPr>
        <w:footnoteRef/>
      </w:r>
      <w:r>
        <w:t xml:space="preserve"> Please refer to section </w:t>
      </w:r>
      <w:r>
        <w:fldChar w:fldCharType="begin"/>
      </w:r>
      <w:r>
        <w:instrText xml:space="preserve"> REF _Ref60648775 \r \h </w:instrText>
      </w:r>
      <w:r>
        <w:fldChar w:fldCharType="separate"/>
      </w:r>
      <w:r>
        <w:t>5.3.1</w:t>
      </w:r>
      <w:r>
        <w:fldChar w:fldCharType="end"/>
      </w:r>
      <w:r>
        <w:t xml:space="preserve"> of this </w:t>
      </w:r>
      <w:r w:rsidR="00CB073D">
        <w:t>paper</w:t>
      </w:r>
      <w:r>
        <w:t xml:space="preserve"> </w:t>
      </w:r>
    </w:p>
  </w:footnote>
  <w:footnote w:id="8">
    <w:p w:rsidR="00BB03D2" w:rsidRDefault="00BB03D2" w14:paraId="26A338E9" w14:textId="19E1957E">
      <w:pPr>
        <w:pStyle w:val="FootnoteText"/>
      </w:pPr>
      <w:r>
        <w:rPr>
          <w:rStyle w:val="FootnoteReference"/>
        </w:rPr>
        <w:footnoteRef/>
      </w:r>
      <w:r>
        <w:t xml:space="preserve"> Please refer to section </w:t>
      </w:r>
      <w:r>
        <w:fldChar w:fldCharType="begin"/>
      </w:r>
      <w:r>
        <w:instrText xml:space="preserve"> REF _Ref71187481 \r \h </w:instrText>
      </w:r>
      <w:r>
        <w:fldChar w:fldCharType="separate"/>
      </w:r>
      <w:r>
        <w:t>5.3.2</w:t>
      </w:r>
      <w:r>
        <w:fldChar w:fldCharType="end"/>
      </w:r>
      <w:r>
        <w:t xml:space="preserve"> of this </w:t>
      </w:r>
      <w:r w:rsidR="00CB073D">
        <w:t>paper</w:t>
      </w:r>
    </w:p>
  </w:footnote>
  <w:footnote w:id="9">
    <w:p w:rsidR="00332ACD" w:rsidRDefault="00332ACD" w14:paraId="5A0265A5" w14:textId="08F80A6E">
      <w:pPr>
        <w:pStyle w:val="FootnoteText"/>
      </w:pPr>
      <w:r>
        <w:rPr>
          <w:rStyle w:val="FootnoteReference"/>
        </w:rPr>
        <w:footnoteRef/>
      </w:r>
      <w:r>
        <w:t xml:space="preserve"> Please refer to section </w:t>
      </w:r>
      <w:r>
        <w:fldChar w:fldCharType="begin"/>
      </w:r>
      <w:r>
        <w:instrText xml:space="preserve"> REF _Ref71212655 \r \h </w:instrText>
      </w:r>
      <w:r>
        <w:fldChar w:fldCharType="separate"/>
      </w:r>
      <w:r>
        <w:t>5.3.3</w:t>
      </w:r>
      <w:r>
        <w:fldChar w:fldCharType="end"/>
      </w:r>
      <w:r>
        <w:t xml:space="preserve"> of this</w:t>
      </w:r>
      <w:r w:rsidR="00CB073D">
        <w:t xml:space="preserve"> paper</w:t>
      </w:r>
    </w:p>
  </w:footnote>
  <w:footnote w:id="10">
    <w:p w:rsidR="00C85668" w:rsidRDefault="00C85668" w14:paraId="7E6705AB" w14:textId="76480012">
      <w:pPr>
        <w:pStyle w:val="FootnoteText"/>
      </w:pPr>
      <w:r>
        <w:rPr>
          <w:rStyle w:val="FootnoteReference"/>
        </w:rPr>
        <w:footnoteRef/>
      </w:r>
      <w:r>
        <w:t xml:space="preserve"> Please refer to section</w:t>
      </w:r>
      <w:r w:rsidR="0052542B">
        <w:t xml:space="preserve"> </w:t>
      </w:r>
      <w:r>
        <w:fldChar w:fldCharType="begin"/>
      </w:r>
      <w:r>
        <w:instrText xml:space="preserve"> REF _Ref57192934 \r \h </w:instrText>
      </w:r>
      <w:r>
        <w:fldChar w:fldCharType="separate"/>
      </w:r>
      <w:r>
        <w:t>5.3.4</w:t>
      </w:r>
      <w:r>
        <w:fldChar w:fldCharType="end"/>
      </w:r>
      <w:r>
        <w:t xml:space="preserve"> of this </w:t>
      </w:r>
      <w:r w:rsidR="00CB073D">
        <w:t>paper</w:t>
      </w:r>
    </w:p>
  </w:footnote>
  <w:footnote w:id="11">
    <w:p w:rsidR="00BB1675" w:rsidRDefault="00BB1675" w14:paraId="2B8935B4" w14:textId="7D7C5E9D">
      <w:pPr>
        <w:pStyle w:val="FootnoteText"/>
      </w:pPr>
      <w:r>
        <w:rPr>
          <w:rStyle w:val="FootnoteReference"/>
        </w:rPr>
        <w:footnoteRef/>
      </w:r>
      <w:r>
        <w:t xml:space="preserve"> </w:t>
      </w:r>
      <w:r w:rsidRPr="00107C22" w:rsidR="00A634C1">
        <w:t>Pleas</w:t>
      </w:r>
      <w:r w:rsidR="00A634C1">
        <w:t xml:space="preserve">e refer to </w:t>
      </w:r>
      <w:r w:rsidR="005363A4">
        <w:t xml:space="preserve">section </w:t>
      </w:r>
      <w:r w:rsidR="00232460">
        <w:t>5.2.2</w:t>
      </w:r>
      <w:r w:rsidR="00F74685">
        <w:t xml:space="preserve"> of this paper and </w:t>
      </w:r>
      <w:r w:rsidRPr="00A634C1" w:rsidR="00A634C1">
        <w:rPr>
          <w:rStyle w:val="Hyperlink"/>
        </w:rPr>
        <w:t>https://www.fsb.org/2019/10/governance-arrangements-for-the-upi/</w:t>
      </w:r>
    </w:p>
  </w:footnote>
  <w:footnote w:id="12">
    <w:p w:rsidRPr="00F60A16" w:rsidR="00A15C81" w:rsidP="00F73E49" w:rsidRDefault="00A15C81" w14:paraId="5F6BCC57" w14:textId="77777777">
      <w:pPr>
        <w:pStyle w:val="FootnoteText"/>
        <w:rPr>
          <w:b/>
          <w:bCs/>
        </w:rPr>
      </w:pPr>
      <w:r>
        <w:rPr>
          <w:rStyle w:val="FootnoteReference"/>
        </w:rPr>
        <w:footnoteRef/>
      </w:r>
      <w:r>
        <w:t xml:space="preserve"> </w:t>
      </w:r>
      <w:hyperlink w:history="1" r:id="rId3">
        <w:r w:rsidRPr="00641F5F">
          <w:rPr>
            <w:rStyle w:val="Hyperlink"/>
          </w:rPr>
          <w:t>https://www.anna-dsb.com/upi/</w:t>
        </w:r>
      </w:hyperlink>
      <w:r>
        <w:t xml:space="preserve"> </w:t>
      </w:r>
    </w:p>
  </w:footnote>
  <w:footnote w:id="13">
    <w:p w:rsidRPr="001C0782" w:rsidR="00A15C81" w:rsidP="00F73E49" w:rsidRDefault="00A15C81" w14:paraId="458B1972" w14:textId="77777777">
      <w:pPr>
        <w:pStyle w:val="FootnoteText"/>
      </w:pPr>
      <w:r>
        <w:rPr>
          <w:rStyle w:val="FootnoteReference"/>
        </w:rPr>
        <w:footnoteRef/>
      </w:r>
      <w:r>
        <w:t xml:space="preserve"> </w:t>
      </w:r>
      <w:hyperlink w:history="1" r:id="rId4">
        <w:r w:rsidRPr="00641F5F">
          <w:rPr>
            <w:rStyle w:val="Hyperlink"/>
          </w:rPr>
          <w:t>https://www.anna-dsb.com/subscribe-to-notifications/</w:t>
        </w:r>
      </w:hyperlink>
      <w:r>
        <w:t xml:space="preserve"> </w:t>
      </w:r>
    </w:p>
  </w:footnote>
  <w:footnote w:id="14">
    <w:p w:rsidRPr="00635A46" w:rsidR="00A15C81" w:rsidP="00F73E49" w:rsidRDefault="00A15C81" w14:paraId="045BFD37" w14:textId="77777777">
      <w:pPr>
        <w:pStyle w:val="FootnoteText"/>
      </w:pPr>
      <w:r>
        <w:rPr>
          <w:rStyle w:val="FootnoteReference"/>
        </w:rPr>
        <w:footnoteRef/>
      </w:r>
      <w:r>
        <w:t xml:space="preserve"> </w:t>
      </w:r>
      <w:hyperlink w:history="1" r:id="rId5">
        <w:r w:rsidRPr="0052762A">
          <w:rPr>
            <w:rStyle w:val="Hyperlink"/>
          </w:rPr>
          <w:t>https://www.anna-dsb.com/2021/03/15/monthly-dsb-metrics-february-2021/</w:t>
        </w:r>
      </w:hyperlink>
      <w:r>
        <w:t xml:space="preserve"> </w:t>
      </w:r>
    </w:p>
  </w:footnote>
  <w:footnote w:id="15">
    <w:p w:rsidRPr="00262644" w:rsidR="00A15C81" w:rsidP="00F73E49" w:rsidRDefault="00A15C81" w14:paraId="580DCF71" w14:textId="77777777">
      <w:pPr>
        <w:pStyle w:val="FootnoteText"/>
      </w:pPr>
      <w:r>
        <w:rPr>
          <w:rStyle w:val="FootnoteReference"/>
        </w:rPr>
        <w:footnoteRef/>
      </w:r>
      <w:r w:rsidRPr="00262644">
        <w:t xml:space="preserve"> </w:t>
      </w:r>
      <w:hyperlink w:history="1" r:id="rId6">
        <w:r w:rsidRPr="00262644">
          <w:rPr>
            <w:rStyle w:val="Hyperlink"/>
          </w:rPr>
          <w:t>https://www.esma.europa.eu/sites/default/files/library/esma74-362-1013_final_report_mifir_review_-_data_reporting.pdf</w:t>
        </w:r>
      </w:hyperlink>
      <w:r w:rsidRPr="00262644">
        <w:t xml:space="preserve"> (Publish</w:t>
      </w:r>
      <w:r>
        <w:t xml:space="preserve">ed 31 March 2021) </w:t>
      </w:r>
    </w:p>
  </w:footnote>
  <w:footnote w:id="16">
    <w:p w:rsidR="00A15C81" w:rsidP="00F73E49" w:rsidRDefault="00A15C81" w14:paraId="24DBFF30" w14:textId="77777777">
      <w:pPr>
        <w:pStyle w:val="FootnoteText"/>
      </w:pPr>
      <w:r>
        <w:rPr>
          <w:rStyle w:val="FootnoteReference"/>
        </w:rPr>
        <w:footnoteRef/>
      </w:r>
      <w:r>
        <w:t xml:space="preserve"> Traded on a Trading Venue (ToTV) and underlying Traded on a Trading Venue (uToTV) as defined by MiFID and MiFIR </w:t>
      </w:r>
    </w:p>
  </w:footnote>
  <w:footnote w:id="17">
    <w:p w:rsidRPr="003F00A2" w:rsidR="00943E34" w:rsidRDefault="00943E34" w14:paraId="671A0826" w14:textId="7D7A6414">
      <w:pPr>
        <w:pStyle w:val="FootnoteText"/>
        <w:rPr>
          <w:lang w:val="en-GB"/>
        </w:rPr>
      </w:pPr>
      <w:r>
        <w:rPr>
          <w:rStyle w:val="FootnoteReference"/>
        </w:rPr>
        <w:footnoteRef/>
      </w:r>
      <w:r>
        <w:t xml:space="preserve"> </w:t>
      </w:r>
      <w:r w:rsidR="00A03AA3">
        <w:rPr>
          <w:lang w:val="en-GB"/>
        </w:rPr>
        <w:t>See footnote 8</w:t>
      </w:r>
    </w:p>
  </w:footnote>
  <w:footnote w:id="18">
    <w:p w:rsidR="0035450A" w:rsidRDefault="0035450A" w14:paraId="7BEDDF2E" w14:textId="6259C453">
      <w:pPr>
        <w:pStyle w:val="FootnoteText"/>
      </w:pPr>
      <w:r>
        <w:rPr>
          <w:rStyle w:val="FootnoteReference"/>
        </w:rPr>
        <w:footnoteRef/>
      </w:r>
      <w:r>
        <w:t xml:space="preserve"> Please refer to section </w:t>
      </w:r>
      <w:r>
        <w:fldChar w:fldCharType="begin"/>
      </w:r>
      <w:r>
        <w:instrText xml:space="preserve"> REF _Ref71365811 \r \h </w:instrText>
      </w:r>
      <w:r>
        <w:fldChar w:fldCharType="separate"/>
      </w:r>
      <w:r>
        <w:t>5.2.1</w:t>
      </w:r>
      <w:r>
        <w:fldChar w:fldCharType="end"/>
      </w:r>
      <w:r>
        <w:t xml:space="preserve"> of this paper for information about the roles of these stakeholder groups </w:t>
      </w:r>
    </w:p>
  </w:footnote>
  <w:footnote w:id="19">
    <w:p w:rsidRPr="004C3128" w:rsidR="00763758" w:rsidP="00763758" w:rsidRDefault="00763758" w14:paraId="4B710D28" w14:textId="2553F6F0">
      <w:pPr>
        <w:pStyle w:val="FootnoteText"/>
      </w:pPr>
      <w:r>
        <w:rPr>
          <w:rStyle w:val="FootnoteReference"/>
        </w:rPr>
        <w:footnoteRef/>
      </w:r>
      <w:r>
        <w:t xml:space="preserve"> The DSB is proposing a 4 year amortisation period for the UPI capex as explained in </w:t>
      </w:r>
      <w:r w:rsidR="00C72563">
        <w:t>4.10</w:t>
      </w:r>
      <w:r>
        <w:t xml:space="preserve"> </w:t>
      </w:r>
      <w:r>
        <w:fldChar w:fldCharType="begin"/>
      </w:r>
      <w:r>
        <w:instrText xml:space="preserve"> REF _Ref57553191 \h </w:instrText>
      </w:r>
      <w:r>
        <w:fldChar w:fldCharType="separate"/>
      </w:r>
      <w:r>
        <w:t xml:space="preserve"> Capital Expenditure Amortisation Approach</w:t>
      </w:r>
      <w:r>
        <w:fldChar w:fldCharType="end"/>
      </w:r>
      <w:r>
        <w:t>. This means the amoritisation will occur in the years 2023-2026.</w:t>
      </w:r>
    </w:p>
  </w:footnote>
  <w:footnote w:id="20">
    <w:p w:rsidR="00A15C81" w:rsidP="00F73E49" w:rsidRDefault="00A15C81" w14:paraId="26D9A5D0" w14:textId="77777777">
      <w:pPr>
        <w:pStyle w:val="FootnoteText"/>
      </w:pPr>
      <w:r>
        <w:rPr>
          <w:rStyle w:val="FootnoteReference"/>
        </w:rPr>
        <w:footnoteRef/>
      </w:r>
      <w:r>
        <w:t xml:space="preserve"> </w:t>
      </w:r>
      <w:hyperlink w:history="1" r:id="rId7">
        <w:r w:rsidRPr="00BC4A81">
          <w:rPr>
            <w:rStyle w:val="Hyperlink"/>
          </w:rPr>
          <w:t>https://www.iso.org/standard/80506.html</w:t>
        </w:r>
      </w:hyperlink>
      <w:r>
        <w:t xml:space="preserve"> </w:t>
      </w:r>
    </w:p>
  </w:footnote>
  <w:footnote w:id="21">
    <w:p w:rsidR="00A15C81" w:rsidP="00F73E49" w:rsidRDefault="00A15C81" w14:paraId="06BADA15" w14:textId="77777777">
      <w:pPr>
        <w:pStyle w:val="FootnoteText"/>
      </w:pPr>
      <w:r>
        <w:rPr>
          <w:rStyle w:val="FootnoteReference"/>
        </w:rPr>
        <w:footnoteRef/>
      </w:r>
      <w:r>
        <w:t xml:space="preserve"> </w:t>
      </w:r>
      <w:hyperlink w:history="1" r:id="rId8">
        <w:r w:rsidRPr="004C0771">
          <w:rPr>
            <w:rStyle w:val="Hyperlink"/>
          </w:rPr>
          <w:t>https://www.iso.org/standard/77308.html</w:t>
        </w:r>
      </w:hyperlink>
    </w:p>
  </w:footnote>
  <w:footnote w:id="22">
    <w:p w:rsidR="00A15C81" w:rsidP="00F73E49" w:rsidRDefault="00A15C81" w14:paraId="494D0FFA" w14:textId="77777777">
      <w:pPr>
        <w:pStyle w:val="FootnoteText"/>
      </w:pPr>
      <w:r>
        <w:rPr>
          <w:rStyle w:val="FootnoteReference"/>
        </w:rPr>
        <w:footnoteRef/>
      </w:r>
      <w:r>
        <w:t xml:space="preserve"> </w:t>
      </w:r>
      <w:hyperlink w:history="1" r:id="rId9">
        <w:r w:rsidRPr="003F6E05">
          <w:rPr>
            <w:rStyle w:val="Hyperlink"/>
          </w:rPr>
          <w:t>https://www.iso20022.org/</w:t>
        </w:r>
      </w:hyperlink>
      <w:r>
        <w:rPr>
          <w:rStyle w:val="Hyperlink"/>
        </w:rPr>
        <w:t xml:space="preserve"> </w:t>
      </w:r>
    </w:p>
  </w:footnote>
  <w:footnote w:id="23">
    <w:p w:rsidR="00A15C81" w:rsidP="00F73E49" w:rsidRDefault="00A15C81" w14:paraId="2C6AB413" w14:textId="77777777">
      <w:pPr>
        <w:pStyle w:val="FootnoteText"/>
      </w:pPr>
      <w:r>
        <w:rPr>
          <w:rStyle w:val="FootnoteReference"/>
        </w:rPr>
        <w:footnoteRef/>
      </w:r>
      <w:r>
        <w:t xml:space="preserve"> </w:t>
      </w:r>
      <w:hyperlink w:history="1" r:id="rId10">
        <w:r w:rsidRPr="00BC4A81">
          <w:rPr>
            <w:rStyle w:val="Hyperlink"/>
          </w:rPr>
          <w:t>https://www.iso.org/standard/78829.html</w:t>
        </w:r>
      </w:hyperlink>
      <w:r>
        <w:t xml:space="preserve"> </w:t>
      </w:r>
    </w:p>
  </w:footnote>
  <w:footnote w:id="24">
    <w:p w:rsidR="00A15C81" w:rsidP="00F73E49" w:rsidRDefault="00A15C81" w14:paraId="148B16F8" w14:textId="77777777">
      <w:pPr>
        <w:pStyle w:val="FootnoteText"/>
      </w:pPr>
      <w:r>
        <w:rPr>
          <w:rStyle w:val="FootnoteReference"/>
        </w:rPr>
        <w:footnoteRef/>
      </w:r>
      <w:r>
        <w:t xml:space="preserve"> </w:t>
      </w:r>
      <w:hyperlink w:history="1" r:id="rId11">
        <w:r w:rsidRPr="00D7762A">
          <w:rPr>
            <w:rStyle w:val="Hyperlink"/>
          </w:rPr>
          <w:t>http://www.bis.org/cpmi/publ/d169.htm</w:t>
        </w:r>
      </w:hyperlink>
      <w:r>
        <w:t xml:space="preserve"> </w:t>
      </w:r>
    </w:p>
  </w:footnote>
  <w:footnote w:id="25">
    <w:p w:rsidR="00A15C81" w:rsidP="00F73E49" w:rsidRDefault="00A15C81" w14:paraId="36FCE84F" w14:textId="77777777">
      <w:pPr>
        <w:pStyle w:val="FootnoteText"/>
      </w:pPr>
      <w:r>
        <w:rPr>
          <w:rStyle w:val="FootnoteReference"/>
        </w:rPr>
        <w:footnoteRef/>
      </w:r>
      <w:r>
        <w:t xml:space="preserve"> </w:t>
      </w:r>
      <w:hyperlink w:history="1" r:id="rId12">
        <w:r w:rsidRPr="00D7762A">
          <w:rPr>
            <w:rStyle w:val="Hyperlink"/>
          </w:rPr>
          <w:t>https://www.bis.org/cpmi/publ/d158.pdf</w:t>
        </w:r>
      </w:hyperlink>
      <w:r>
        <w:t xml:space="preserve"> </w:t>
      </w:r>
    </w:p>
  </w:footnote>
  <w:footnote w:id="26">
    <w:p w:rsidR="00A15C81" w:rsidP="00F73E49" w:rsidRDefault="00A15C81" w14:paraId="1F68EBBA" w14:textId="77777777">
      <w:pPr>
        <w:pStyle w:val="FootnoteText"/>
      </w:pPr>
      <w:r>
        <w:rPr>
          <w:rStyle w:val="FootnoteReference"/>
        </w:rPr>
        <w:footnoteRef/>
      </w:r>
      <w:r>
        <w:t xml:space="preserve"> </w:t>
      </w:r>
      <w:hyperlink w:history="1" r:id="rId13">
        <w:r w:rsidRPr="00D7762A">
          <w:rPr>
            <w:rStyle w:val="Hyperlink"/>
          </w:rPr>
          <w:t>https://www.bis.org/cpmi/publ/d175.pdf</w:t>
        </w:r>
      </w:hyperlink>
      <w:r>
        <w:t xml:space="preserve"> </w:t>
      </w:r>
    </w:p>
  </w:footnote>
  <w:footnote w:id="27">
    <w:p w:rsidR="00A15C81" w:rsidP="00F73E49" w:rsidRDefault="00A15C81" w14:paraId="17280DEC" w14:textId="77777777">
      <w:pPr>
        <w:pStyle w:val="FootnoteText"/>
      </w:pPr>
      <w:r>
        <w:rPr>
          <w:rStyle w:val="FootnoteReference"/>
        </w:rPr>
        <w:footnoteRef/>
      </w:r>
      <w:r>
        <w:t xml:space="preserve"> </w:t>
      </w:r>
      <w:hyperlink w:history="1" r:id="rId14">
        <w:r w:rsidRPr="00D7762A">
          <w:rPr>
            <w:rStyle w:val="Hyperlink"/>
          </w:rPr>
          <w:t>https://www.fsb.org/2019/10/governance-arrangements-for-the-upi/</w:t>
        </w:r>
      </w:hyperlink>
      <w:r>
        <w:t xml:space="preserve"> </w:t>
      </w:r>
    </w:p>
  </w:footnote>
  <w:footnote w:id="28">
    <w:p w:rsidRPr="00EC6525" w:rsidR="00A15C81" w:rsidP="00F73E49" w:rsidRDefault="00A15C81" w14:paraId="76AAD7EB" w14:textId="77777777">
      <w:pPr>
        <w:pStyle w:val="FootnoteText"/>
      </w:pPr>
      <w:r>
        <w:rPr>
          <w:rStyle w:val="FootnoteReference"/>
        </w:rPr>
        <w:footnoteRef/>
      </w:r>
      <w:r>
        <w:t xml:space="preserve"> </w:t>
      </w:r>
      <w:hyperlink w:history="1" r:id="rId15">
        <w:r w:rsidRPr="005B1E2B">
          <w:rPr>
            <w:rStyle w:val="Hyperlink"/>
          </w:rPr>
          <w:t>https://www.leiroc.org/publications/gls/roc_20201001-2.pdf</w:t>
        </w:r>
      </w:hyperlink>
      <w:r>
        <w:t xml:space="preserve"> </w:t>
      </w:r>
    </w:p>
  </w:footnote>
  <w:footnote w:id="29">
    <w:p w:rsidR="00A15C81" w:rsidP="00F73E49" w:rsidRDefault="00A15C81" w14:paraId="132A53A0" w14:textId="77777777">
      <w:pPr>
        <w:pStyle w:val="FootnoteText"/>
      </w:pPr>
      <w:r>
        <w:rPr>
          <w:rStyle w:val="FootnoteReference"/>
        </w:rPr>
        <w:footnoteRef/>
      </w:r>
      <w:r>
        <w:t xml:space="preserve"> </w:t>
      </w:r>
      <w:hyperlink w:history="1" r:id="rId16">
        <w:r w:rsidRPr="00D7762A">
          <w:rPr>
            <w:rStyle w:val="Hyperlink"/>
          </w:rPr>
          <w:t>https://www.fsb.org/2020/09/lei-roc-to-become-governance-body-for-otc-derivatives-identifiers/</w:t>
        </w:r>
      </w:hyperlink>
      <w:r>
        <w:t xml:space="preserve"> </w:t>
      </w:r>
    </w:p>
  </w:footnote>
  <w:footnote w:id="30">
    <w:p w:rsidR="00A15C81" w:rsidP="00F73E49" w:rsidRDefault="00A15C81" w14:paraId="59D6E156" w14:textId="77777777">
      <w:pPr>
        <w:pStyle w:val="FootnoteText"/>
      </w:pPr>
      <w:r>
        <w:rPr>
          <w:rStyle w:val="FootnoteReference"/>
        </w:rPr>
        <w:footnoteRef/>
      </w:r>
      <w:r>
        <w:t xml:space="preserve"> </w:t>
      </w:r>
      <w:hyperlink w:history="1" r:id="rId17">
        <w:r w:rsidRPr="00D7762A">
          <w:rPr>
            <w:rStyle w:val="Hyperlink"/>
          </w:rPr>
          <w:t>https://www.leiroc.org/publications/gls/roc_20201001-1.pdf</w:t>
        </w:r>
      </w:hyperlink>
      <w:r>
        <w:t xml:space="preserve"> </w:t>
      </w:r>
    </w:p>
  </w:footnote>
  <w:footnote w:id="31">
    <w:p w:rsidR="00A15C81" w:rsidP="00F73E49" w:rsidRDefault="00A15C81" w14:paraId="238F93A2" w14:textId="77777777">
      <w:pPr>
        <w:pStyle w:val="FootnoteText"/>
        <w:ind w:left="142" w:hanging="142"/>
        <w:jc w:val="both"/>
      </w:pPr>
      <w:r w:rsidRPr="00125062">
        <w:rPr>
          <w:rStyle w:val="FootnoteReference"/>
        </w:rPr>
        <w:footnoteRef/>
      </w:r>
      <w:r w:rsidRPr="00125062">
        <w:t xml:space="preserve"> It shall be note that the FSB has no authority over the ISO, so that </w:t>
      </w:r>
      <w:r>
        <w:t xml:space="preserve">development of the </w:t>
      </w:r>
      <w:r w:rsidRPr="00125062">
        <w:t>UPI s</w:t>
      </w:r>
      <w:r>
        <w:t>tandard</w:t>
      </w:r>
      <w:r w:rsidRPr="00125062">
        <w:t xml:space="preserve"> is subject to the usual ISO process (</w:t>
      </w:r>
      <w:hyperlink w:history="1" r:id="rId18">
        <w:r w:rsidRPr="00125062">
          <w:rPr>
            <w:rStyle w:val="Hyperlink"/>
          </w:rPr>
          <w:t>https://committee.iso.org/sites/tc68/home/news/content-left-area/news-and-updates/unique-product-identifier-upi-ba.html</w:t>
        </w:r>
      </w:hyperlink>
      <w:r w:rsidRPr="00125062">
        <w:rPr>
          <w:rStyle w:val="Hyperlink"/>
        </w:rPr>
        <w:t>)</w:t>
      </w:r>
    </w:p>
  </w:footnote>
  <w:footnote w:id="32">
    <w:p w:rsidRPr="00CD4C99" w:rsidR="00A15C81" w:rsidP="00F73E49" w:rsidRDefault="00A15C81" w14:paraId="561F7D33" w14:textId="77777777">
      <w:pPr>
        <w:pStyle w:val="FootnoteText"/>
      </w:pPr>
      <w:r>
        <w:rPr>
          <w:rStyle w:val="FootnoteReference"/>
        </w:rPr>
        <w:footnoteRef/>
      </w:r>
      <w:r>
        <w:t xml:space="preserve"> </w:t>
      </w:r>
      <w:hyperlink w:history="1" r:id="rId19">
        <w:r w:rsidRPr="005B1E2B">
          <w:rPr>
            <w:rStyle w:val="Hyperlink"/>
          </w:rPr>
          <w:t>https://www.anna-dsb.com/product-committee/</w:t>
        </w:r>
      </w:hyperlink>
      <w:r>
        <w:t xml:space="preserve"> </w:t>
      </w:r>
    </w:p>
  </w:footnote>
  <w:footnote w:id="33">
    <w:p w:rsidRPr="00CD4C99" w:rsidR="00A15C81" w:rsidP="00F73E49" w:rsidRDefault="00A15C81" w14:paraId="1112F515" w14:textId="77777777">
      <w:pPr>
        <w:pStyle w:val="FootnoteText"/>
      </w:pPr>
      <w:r>
        <w:rPr>
          <w:rStyle w:val="FootnoteReference"/>
        </w:rPr>
        <w:footnoteRef/>
      </w:r>
      <w:r>
        <w:t xml:space="preserve"> </w:t>
      </w:r>
      <w:hyperlink w:history="1" r:id="rId20">
        <w:r w:rsidRPr="005B1E2B">
          <w:rPr>
            <w:rStyle w:val="Hyperlink"/>
          </w:rPr>
          <w:t>https://www.anna-dsb.com/technology-advisory-committee/</w:t>
        </w:r>
      </w:hyperlink>
      <w:r>
        <w:t xml:space="preserve"> </w:t>
      </w:r>
    </w:p>
  </w:footnote>
  <w:footnote w:id="34">
    <w:p w:rsidR="00A15C81" w:rsidP="00F73E49" w:rsidRDefault="00A15C81" w14:paraId="1F50DB28" w14:textId="77777777">
      <w:pPr>
        <w:pStyle w:val="FootnoteText"/>
        <w:ind w:left="284" w:hanging="284"/>
        <w:jc w:val="both"/>
      </w:pPr>
      <w:r w:rsidRPr="00125062">
        <w:rPr>
          <w:rStyle w:val="FootnoteReference"/>
        </w:rPr>
        <w:footnoteRef/>
      </w:r>
      <w:r w:rsidRPr="00125062">
        <w:t xml:space="preserve"> The IGB provides oversight over the UPI Service providers and other elements of the UPI Governance Arrangements, as well coordinate with various stakeholders and other international standard-setting bodies (including CPMI, IOSCO, FSB and ISO).    </w:t>
      </w:r>
    </w:p>
  </w:footnote>
  <w:footnote w:id="35">
    <w:p w:rsidRPr="00102E99" w:rsidR="00A15C81" w:rsidP="00F73E49" w:rsidRDefault="00A15C81" w14:paraId="7BF44DAB" w14:textId="77777777">
      <w:pPr>
        <w:pStyle w:val="FootnoteText"/>
      </w:pPr>
      <w:r>
        <w:rPr>
          <w:rStyle w:val="FootnoteReference"/>
        </w:rPr>
        <w:footnoteRef/>
      </w:r>
      <w:r>
        <w:t xml:space="preserve"> </w:t>
      </w:r>
      <w:hyperlink w:history="1" r:id="rId21">
        <w:r w:rsidRPr="009E1A5E">
          <w:rPr>
            <w:rStyle w:val="Hyperlink"/>
          </w:rPr>
          <w:t>https://www.leiroc.org/about/membersandobservers/index.htm</w:t>
        </w:r>
      </w:hyperlink>
      <w:r>
        <w:t xml:space="preserve"> </w:t>
      </w:r>
    </w:p>
  </w:footnote>
  <w:footnote w:id="36">
    <w:p w:rsidR="00A15C81" w:rsidP="00F73E49" w:rsidRDefault="00A15C81" w14:paraId="6654858A" w14:textId="77777777">
      <w:pPr>
        <w:pStyle w:val="FootnoteText"/>
      </w:pPr>
      <w:r>
        <w:rPr>
          <w:rStyle w:val="FootnoteReference"/>
        </w:rPr>
        <w:footnoteRef/>
      </w:r>
      <w:r>
        <w:t xml:space="preserve"> </w:t>
      </w:r>
      <w:r w:rsidDel="00464FDE">
        <w:fldChar w:fldCharType="begin"/>
      </w:r>
      <w:r w:rsidDel="00464FDE">
        <w:fldChar w:fldCharType="separate"/>
      </w:r>
      <w:r>
        <w:rPr>
          <w:rStyle w:val="Hyperlink"/>
        </w:rPr>
        <w:t>See</w:t>
      </w:r>
      <w:r w:rsidDel="00464FDE">
        <w:rPr>
          <w:rStyle w:val="Hyperlink"/>
        </w:rPr>
        <w:fldChar w:fldCharType="end"/>
      </w:r>
      <w:r>
        <w:rPr>
          <w:rStyle w:val="Hyperlink"/>
        </w:rPr>
        <w:t xml:space="preserve"> See footnote 13</w:t>
      </w:r>
      <w:r>
        <w:t xml:space="preserve"> </w:t>
      </w:r>
    </w:p>
  </w:footnote>
  <w:footnote w:id="37">
    <w:p w:rsidR="00A15C81" w:rsidP="00F73E49" w:rsidRDefault="00A15C81" w14:paraId="5393F90A" w14:textId="77777777">
      <w:pPr>
        <w:pStyle w:val="FootnoteText"/>
      </w:pPr>
      <w:r>
        <w:rPr>
          <w:rStyle w:val="FootnoteReference"/>
        </w:rPr>
        <w:footnoteRef/>
      </w:r>
      <w:r>
        <w:t xml:space="preserve"> </w:t>
      </w:r>
      <w:r w:rsidDel="00464FDE">
        <w:fldChar w:fldCharType="begin"/>
      </w:r>
      <w:r w:rsidDel="00464FDE">
        <w:fldChar w:fldCharType="separate"/>
      </w:r>
      <w:r>
        <w:rPr>
          <w:rStyle w:val="Hyperlink"/>
        </w:rPr>
        <w:t>See</w:t>
      </w:r>
      <w:r w:rsidDel="00464FDE">
        <w:rPr>
          <w:rStyle w:val="Hyperlink"/>
        </w:rPr>
        <w:fldChar w:fldCharType="end"/>
      </w:r>
      <w:r>
        <w:rPr>
          <w:rStyle w:val="Hyperlink"/>
        </w:rPr>
        <w:t xml:space="preserve"> See footnote 14</w:t>
      </w:r>
      <w:r>
        <w:t xml:space="preserve"> </w:t>
      </w:r>
    </w:p>
  </w:footnote>
  <w:footnote w:id="38">
    <w:p w:rsidR="00A15C81" w:rsidP="00F73E49" w:rsidRDefault="00A15C81" w14:paraId="6EC5E2C6" w14:textId="77777777">
      <w:pPr>
        <w:pStyle w:val="FootnoteText"/>
      </w:pPr>
      <w:r>
        <w:rPr>
          <w:rStyle w:val="FootnoteReference"/>
        </w:rPr>
        <w:footnoteRef/>
      </w:r>
      <w:r>
        <w:t xml:space="preserve"> </w:t>
      </w:r>
      <w:hyperlink w:history="1" r:id="rId22">
        <w:r w:rsidRPr="002B2417">
          <w:rPr>
            <w:rStyle w:val="Hyperlink"/>
          </w:rPr>
          <w:t>See footnote 9</w:t>
        </w:r>
      </w:hyperlink>
    </w:p>
  </w:footnote>
  <w:footnote w:id="39">
    <w:p w:rsidR="00A15C81" w:rsidP="00F73E49" w:rsidRDefault="00A15C81" w14:paraId="3899C695" w14:textId="77777777">
      <w:pPr>
        <w:pStyle w:val="FootnoteText"/>
      </w:pPr>
      <w:r>
        <w:rPr>
          <w:rStyle w:val="FootnoteReference"/>
        </w:rPr>
        <w:footnoteRef/>
      </w:r>
      <w:r>
        <w:t xml:space="preserve"> Cost recovery, which incorporates the DSB’s financial sustainability margin, includes both recurring costs such as technology &amp; operations, management, administration and external consultants as well as time-limited costs such as amortisation of the build costs.</w:t>
      </w:r>
    </w:p>
  </w:footnote>
  <w:footnote w:id="40">
    <w:p w:rsidRPr="000D1AFA" w:rsidR="00A15C81" w:rsidP="00F73E49" w:rsidRDefault="00A15C81" w14:paraId="7E641752" w14:textId="77777777">
      <w:pPr>
        <w:pStyle w:val="FootnoteText"/>
      </w:pPr>
      <w:r>
        <w:rPr>
          <w:rStyle w:val="FootnoteReference"/>
        </w:rPr>
        <w:footnoteRef/>
      </w:r>
      <w:r>
        <w:t xml:space="preserve"> </w:t>
      </w:r>
      <w:r w:rsidRPr="00CE0123">
        <w:t>Markets in Financial Instruments Directive (MiFID)</w:t>
      </w:r>
    </w:p>
  </w:footnote>
  <w:footnote w:id="41">
    <w:p w:rsidRPr="00624BD5" w:rsidR="00A15C81" w:rsidP="00F73E49" w:rsidRDefault="00A15C81" w14:paraId="60DF92C8" w14:textId="77777777">
      <w:pPr>
        <w:pStyle w:val="FootnoteText"/>
      </w:pPr>
      <w:r>
        <w:rPr>
          <w:rStyle w:val="FootnoteReference"/>
        </w:rPr>
        <w:footnoteRef/>
      </w:r>
      <w:r>
        <w:t xml:space="preserve"> </w:t>
      </w:r>
      <w:r w:rsidRPr="00624BD5">
        <w:t>Markets in Financial Instruments (MiFIR)</w:t>
      </w:r>
      <w:r>
        <w:t xml:space="preserve"> </w:t>
      </w:r>
    </w:p>
  </w:footnote>
  <w:footnote w:id="42">
    <w:p w:rsidR="00A15C81" w:rsidP="00F73E49" w:rsidRDefault="00A15C81" w14:paraId="7C0EF55E" w14:textId="77777777">
      <w:pPr>
        <w:pStyle w:val="FootnoteText"/>
      </w:pPr>
      <w:r>
        <w:rPr>
          <w:rStyle w:val="FootnoteReference"/>
        </w:rPr>
        <w:footnoteRef/>
      </w:r>
      <w:r>
        <w:t xml:space="preserve"> </w:t>
      </w:r>
      <w:r w:rsidRPr="000C0630">
        <w:t>https://www.anna-dsb.com/upi-fee-model-consultation-2021/</w:t>
      </w:r>
    </w:p>
  </w:footnote>
  <w:footnote w:id="43">
    <w:p w:rsidRPr="000A5961" w:rsidR="00A15C81" w:rsidP="00F73E49" w:rsidRDefault="00A15C81" w14:paraId="64E81ADF" w14:textId="77777777">
      <w:pPr>
        <w:pStyle w:val="FootnoteText"/>
      </w:pPr>
      <w:r>
        <w:rPr>
          <w:rStyle w:val="FootnoteReference"/>
        </w:rPr>
        <w:footnoteRef/>
      </w:r>
      <w:r>
        <w:t xml:space="preserve"> For UPI users, t</w:t>
      </w:r>
      <w:r w:rsidRPr="002E2C3F">
        <w:t xml:space="preserve">he fees to be charged for the differing categories of users will be the subject of a subsequent consultation. The DSB’s charges policies for its existing service </w:t>
      </w:r>
      <w:r>
        <w:t>illustrates</w:t>
      </w:r>
      <w:r w:rsidRPr="002E2C3F">
        <w:t xml:space="preserve"> how the existing service recovers costs across the differing user categories: https://www.anna-dsb.com/download/dsb-charges-policy</w:t>
      </w:r>
      <w:r w:rsidRPr="00A70191">
        <w:t>_v5_2021_final/</w:t>
      </w:r>
      <w:r w:rsidRPr="002E2C3F">
        <w:t>. The actual fee values are shown here: https://www.anna-dsb.com/fees-rules-</w:t>
      </w:r>
      <w:r w:rsidRPr="009651EF">
        <w:t>2021/</w:t>
      </w:r>
    </w:p>
  </w:footnote>
  <w:footnote w:id="44">
    <w:p w:rsidRPr="003F5F8A" w:rsidR="00A15C81" w:rsidP="00F73E49" w:rsidRDefault="00A15C81" w14:paraId="375BC371" w14:textId="77777777">
      <w:pPr>
        <w:pStyle w:val="FootnoteText"/>
      </w:pPr>
      <w:r>
        <w:rPr>
          <w:rStyle w:val="FootnoteReference"/>
        </w:rPr>
        <w:footnoteRef/>
      </w:r>
      <w:r w:rsidRPr="003F5F8A">
        <w:t xml:space="preserve"> </w:t>
      </w:r>
      <w:r>
        <w:t xml:space="preserve">Following user consultation the DSB has implemented a model where up to 5 results are returned in response to a search by Registered Users and Infrequent Users when using the DSB’s web-interface, and the full compendium of search results are returned to other types of DSB users. Note that all DSB users are able to access the full suite of DSB data by downloading the free to use files and subsequently utilizing the data in the users’ own systems. </w:t>
      </w:r>
    </w:p>
  </w:footnote>
  <w:footnote w:id="45">
    <w:p w:rsidRPr="00DE4976" w:rsidR="00A15C81" w:rsidP="00F73E49" w:rsidRDefault="00A15C81" w14:paraId="56658524" w14:textId="77777777">
      <w:pPr>
        <w:pStyle w:val="FootnoteText"/>
      </w:pPr>
      <w:r>
        <w:rPr>
          <w:rStyle w:val="FootnoteReference"/>
        </w:rPr>
        <w:footnoteRef/>
      </w:r>
      <w:r>
        <w:t xml:space="preserve"> </w:t>
      </w:r>
      <w:hyperlink w:history="1" r:id="rId23">
        <w:r w:rsidRPr="008C31FF">
          <w:rPr>
            <w:rStyle w:val="Hyperlink"/>
          </w:rPr>
          <w:t>https://www.anna-dsb.com/download/2021-industry-consultation-paper/</w:t>
        </w:r>
      </w:hyperlink>
      <w:r>
        <w:t xml:space="preserve"> </w:t>
      </w:r>
    </w:p>
  </w:footnote>
  <w:footnote w:id="46">
    <w:p w:rsidRPr="003F5F8A" w:rsidR="00A15C81" w:rsidP="00F73E49" w:rsidRDefault="00A15C81" w14:paraId="0FB18DAC" w14:textId="77777777">
      <w:pPr>
        <w:pStyle w:val="FootnoteText"/>
      </w:pPr>
      <w:r>
        <w:rPr>
          <w:rStyle w:val="FootnoteReference"/>
        </w:rPr>
        <w:footnoteRef/>
      </w:r>
      <w:r w:rsidRPr="003F5F8A">
        <w:t xml:space="preserve"> </w:t>
      </w:r>
      <w:hyperlink w:history="1" r:id="rId24">
        <w:r w:rsidRPr="003F5F8A">
          <w:rPr>
            <w:rStyle w:val="Hyperlink"/>
          </w:rPr>
          <w:t>https://www.anna-dsb.com/2020/04/27/so-whats-in-the-cfi-upi-and-otc-isin/</w:t>
        </w:r>
      </w:hyperlink>
      <w:r w:rsidRPr="003F5F8A">
        <w:t xml:space="preserve"> </w:t>
      </w:r>
    </w:p>
  </w:footnote>
  <w:footnote w:id="47">
    <w:p w:rsidRPr="00F07209" w:rsidR="00A15C81" w:rsidP="00F73E49" w:rsidRDefault="00A15C81" w14:paraId="2994BFED" w14:textId="77777777">
      <w:pPr>
        <w:pStyle w:val="FootnoteText"/>
      </w:pPr>
      <w:r>
        <w:rPr>
          <w:rStyle w:val="FootnoteReference"/>
        </w:rPr>
        <w:footnoteRef/>
      </w:r>
      <w:r>
        <w:t xml:space="preserve"> </w:t>
      </w:r>
      <w:hyperlink w:history="1" r:id="rId25">
        <w:r w:rsidRPr="005B1E2B">
          <w:rPr>
            <w:rStyle w:val="Hyperlink"/>
          </w:rPr>
          <w:t>https://www.anna-dsb.com/upi-qa/</w:t>
        </w:r>
      </w:hyperlink>
      <w:r>
        <w:t xml:space="preserve"> </w:t>
      </w:r>
    </w:p>
  </w:footnote>
  <w:footnote w:id="48">
    <w:p w:rsidR="00A15C81" w:rsidP="00F73E49" w:rsidRDefault="00A15C81" w14:paraId="4A93A2AA" w14:textId="77777777">
      <w:pPr>
        <w:pStyle w:val="FootnoteText"/>
      </w:pPr>
      <w:r>
        <w:rPr>
          <w:rStyle w:val="FootnoteReference"/>
        </w:rPr>
        <w:footnoteRef/>
      </w:r>
      <w:r>
        <w:t xml:space="preserve"> A product template is the definition of the OTC derivative identifier and contains the list of input and derived fields agreed by the DSB PC as being the most appropriate and consistent description of the instrument or product being identified. </w:t>
      </w:r>
    </w:p>
  </w:footnote>
  <w:footnote w:id="49">
    <w:p w:rsidR="00A15C81" w:rsidP="00F73E49" w:rsidRDefault="00A15C81" w14:paraId="1CD43D1C" w14:textId="77777777">
      <w:pPr>
        <w:pStyle w:val="FootnoteText"/>
      </w:pPr>
      <w:r>
        <w:rPr>
          <w:rStyle w:val="FootnoteReference"/>
        </w:rPr>
        <w:footnoteRef/>
      </w:r>
      <w:r>
        <w:t xml:space="preserve"> Such occurrences arise because of the higher granularity of OTC ISIN compared to the UPI due to the additional data elements that define the OTC ISIN including, but not limited to, the tenor and expiry date.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009"/>
      <w:gridCol w:w="3009"/>
      <w:gridCol w:w="3009"/>
    </w:tblGrid>
    <w:tr w:rsidR="00C466DA" w:rsidTr="75828AE8" w14:paraId="535DB78B" w14:textId="77777777">
      <w:tc>
        <w:tcPr>
          <w:tcW w:w="3009" w:type="dxa"/>
        </w:tcPr>
        <w:p w:rsidR="00C466DA" w:rsidP="00E70C3E" w:rsidRDefault="00C466DA" w14:paraId="4B06CA8F" w14:textId="77777777">
          <w:pPr>
            <w:pStyle w:val="Header"/>
            <w:ind w:left="-115" w:right="-498"/>
          </w:pPr>
        </w:p>
      </w:tc>
      <w:tc>
        <w:tcPr>
          <w:tcW w:w="3009" w:type="dxa"/>
        </w:tcPr>
        <w:p w:rsidR="00C466DA" w:rsidP="75828AE8" w:rsidRDefault="00C466DA" w14:paraId="5E9599FA" w14:textId="77777777">
          <w:pPr>
            <w:pStyle w:val="Header"/>
            <w:jc w:val="center"/>
          </w:pPr>
        </w:p>
      </w:tc>
      <w:tc>
        <w:tcPr>
          <w:tcW w:w="3009" w:type="dxa"/>
        </w:tcPr>
        <w:p w:rsidR="00C466DA" w:rsidP="75828AE8" w:rsidRDefault="00C466DA" w14:paraId="2C40F758" w14:textId="77777777">
          <w:pPr>
            <w:pStyle w:val="Header"/>
            <w:ind w:right="-115"/>
            <w:jc w:val="right"/>
          </w:pPr>
        </w:p>
      </w:tc>
    </w:tr>
  </w:tbl>
  <w:p w:rsidR="00A15C81" w:rsidP="006308B0" w:rsidRDefault="00A15C81" w14:paraId="0473D88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2669" w:hanging="284"/>
      </w:pPr>
      <w:rPr>
        <w:rFonts w:ascii="Symbol" w:hAnsi="Symbol" w:cs="Symbol"/>
        <w:b w:val="0"/>
        <w:bCs w:val="0"/>
        <w:w w:val="99"/>
        <w:sz w:val="20"/>
        <w:szCs w:val="20"/>
      </w:rPr>
    </w:lvl>
    <w:lvl w:ilvl="1">
      <w:numFmt w:val="bullet"/>
      <w:lvlText w:val="•"/>
      <w:lvlJc w:val="left"/>
      <w:pPr>
        <w:ind w:left="3386" w:hanging="284"/>
      </w:pPr>
    </w:lvl>
    <w:lvl w:ilvl="2">
      <w:numFmt w:val="bullet"/>
      <w:lvlText w:val="•"/>
      <w:lvlJc w:val="left"/>
      <w:pPr>
        <w:ind w:left="4113" w:hanging="284"/>
      </w:pPr>
    </w:lvl>
    <w:lvl w:ilvl="3">
      <w:numFmt w:val="bullet"/>
      <w:lvlText w:val="•"/>
      <w:lvlJc w:val="left"/>
      <w:pPr>
        <w:ind w:left="4839" w:hanging="284"/>
      </w:pPr>
    </w:lvl>
    <w:lvl w:ilvl="4">
      <w:numFmt w:val="bullet"/>
      <w:lvlText w:val="•"/>
      <w:lvlJc w:val="left"/>
      <w:pPr>
        <w:ind w:left="5566" w:hanging="284"/>
      </w:pPr>
    </w:lvl>
    <w:lvl w:ilvl="5">
      <w:numFmt w:val="bullet"/>
      <w:lvlText w:val="•"/>
      <w:lvlJc w:val="left"/>
      <w:pPr>
        <w:ind w:left="6293" w:hanging="284"/>
      </w:pPr>
    </w:lvl>
    <w:lvl w:ilvl="6">
      <w:numFmt w:val="bullet"/>
      <w:lvlText w:val="•"/>
      <w:lvlJc w:val="left"/>
      <w:pPr>
        <w:ind w:left="7019" w:hanging="284"/>
      </w:pPr>
    </w:lvl>
    <w:lvl w:ilvl="7">
      <w:numFmt w:val="bullet"/>
      <w:lvlText w:val="•"/>
      <w:lvlJc w:val="left"/>
      <w:pPr>
        <w:ind w:left="7746" w:hanging="284"/>
      </w:pPr>
    </w:lvl>
    <w:lvl w:ilvl="8">
      <w:numFmt w:val="bullet"/>
      <w:lvlText w:val="•"/>
      <w:lvlJc w:val="left"/>
      <w:pPr>
        <w:ind w:left="8473" w:hanging="284"/>
      </w:pPr>
    </w:lvl>
  </w:abstractNum>
  <w:abstractNum w:abstractNumId="1" w15:restartNumberingAfterBreak="0">
    <w:nsid w:val="01EC5903"/>
    <w:multiLevelType w:val="multilevel"/>
    <w:tmpl w:val="F7122740"/>
    <w:lvl w:ilvl="0">
      <w:start w:val="1"/>
      <w:numFmt w:val="decimal"/>
      <w:pStyle w:val="Heading1"/>
      <w:lvlText w:val="%1"/>
      <w:lvlJc w:val="left"/>
      <w:pPr>
        <w:ind w:left="52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4183633"/>
    <w:multiLevelType w:val="hybridMultilevel"/>
    <w:tmpl w:val="909AD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F63408"/>
    <w:multiLevelType w:val="hybridMultilevel"/>
    <w:tmpl w:val="8A5C8D40"/>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 w15:restartNumberingAfterBreak="0">
    <w:nsid w:val="08596BD4"/>
    <w:multiLevelType w:val="hybridMultilevel"/>
    <w:tmpl w:val="3A18F8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9A0358"/>
    <w:multiLevelType w:val="hybridMultilevel"/>
    <w:tmpl w:val="22E637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894A1A"/>
    <w:multiLevelType w:val="hybridMultilevel"/>
    <w:tmpl w:val="50BC8D4A"/>
    <w:lvl w:ilvl="0" w:tplc="D6D671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D6B6E6D"/>
    <w:multiLevelType w:val="hybridMultilevel"/>
    <w:tmpl w:val="E7E84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EC1F67"/>
    <w:multiLevelType w:val="hybridMultilevel"/>
    <w:tmpl w:val="F442120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11A63EE0"/>
    <w:multiLevelType w:val="hybridMultilevel"/>
    <w:tmpl w:val="A91037C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B82815"/>
    <w:multiLevelType w:val="hybridMultilevel"/>
    <w:tmpl w:val="C6F2AFC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99E6731"/>
    <w:multiLevelType w:val="hybridMultilevel"/>
    <w:tmpl w:val="C26A0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ED4E7F"/>
    <w:multiLevelType w:val="hybridMultilevel"/>
    <w:tmpl w:val="59DCAED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3" w15:restartNumberingAfterBreak="0">
    <w:nsid w:val="207846AF"/>
    <w:multiLevelType w:val="hybridMultilevel"/>
    <w:tmpl w:val="DFCC528C"/>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2A01238"/>
    <w:multiLevelType w:val="hybridMultilevel"/>
    <w:tmpl w:val="8F30B7BC"/>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hint="default" w:ascii="Courier New" w:hAnsi="Courier New" w:cs="Courier New"/>
      </w:rPr>
    </w:lvl>
    <w:lvl w:ilvl="2" w:tplc="341A3A2E">
      <w:numFmt w:val="bullet"/>
      <w:lvlText w:val="-"/>
      <w:lvlJc w:val="left"/>
      <w:pPr>
        <w:ind w:left="2160" w:hanging="360"/>
      </w:pPr>
      <w:rPr>
        <w:rFonts w:hint="default" w:ascii="Calibri" w:hAnsi="Calibri" w:eastAsiaTheme="minorEastAsia" w:cstheme="minorBidi"/>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4C730B8"/>
    <w:multiLevelType w:val="hybridMultilevel"/>
    <w:tmpl w:val="8FF29A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7400B15"/>
    <w:multiLevelType w:val="hybridMultilevel"/>
    <w:tmpl w:val="A562341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85E5359"/>
    <w:multiLevelType w:val="hybridMultilevel"/>
    <w:tmpl w:val="119AB47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290A228E"/>
    <w:multiLevelType w:val="hybridMultilevel"/>
    <w:tmpl w:val="AD2CF2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D24CA1"/>
    <w:multiLevelType w:val="hybridMultilevel"/>
    <w:tmpl w:val="F23EDFE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2162DC3"/>
    <w:multiLevelType w:val="hybridMultilevel"/>
    <w:tmpl w:val="8EA2754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3576D9"/>
    <w:multiLevelType w:val="hybridMultilevel"/>
    <w:tmpl w:val="662E7F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7602A3E"/>
    <w:multiLevelType w:val="hybridMultilevel"/>
    <w:tmpl w:val="BD642B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C24B88"/>
    <w:multiLevelType w:val="hybridMultilevel"/>
    <w:tmpl w:val="E206912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386E1E33"/>
    <w:multiLevelType w:val="hybridMultilevel"/>
    <w:tmpl w:val="8AC88CD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9F7732D"/>
    <w:multiLevelType w:val="hybridMultilevel"/>
    <w:tmpl w:val="2E20F7FE"/>
    <w:lvl w:ilvl="0" w:tplc="2CA88F0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3BA13ED6"/>
    <w:multiLevelType w:val="hybridMultilevel"/>
    <w:tmpl w:val="C3DEC1C4"/>
    <w:lvl w:ilvl="0" w:tplc="FB8E1A14">
      <w:numFmt w:val="bullet"/>
      <w:lvlText w:val="-"/>
      <w:lvlJc w:val="left"/>
      <w:pPr>
        <w:ind w:left="720" w:hanging="360"/>
      </w:pPr>
      <w:rPr>
        <w:rFonts w:hint="default" w:ascii="Calibri" w:hAnsi="Calibri" w:cs="Calibri"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3C764B5B"/>
    <w:multiLevelType w:val="hybridMultilevel"/>
    <w:tmpl w:val="3A18F8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4638C4"/>
    <w:multiLevelType w:val="hybridMultilevel"/>
    <w:tmpl w:val="8F30B7BC"/>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hint="default" w:ascii="Courier New" w:hAnsi="Courier New" w:cs="Courier New"/>
      </w:rPr>
    </w:lvl>
    <w:lvl w:ilvl="2" w:tplc="341A3A2E">
      <w:numFmt w:val="bullet"/>
      <w:lvlText w:val="-"/>
      <w:lvlJc w:val="left"/>
      <w:pPr>
        <w:ind w:left="2160" w:hanging="360"/>
      </w:pPr>
      <w:rPr>
        <w:rFonts w:hint="default" w:ascii="Calibri" w:hAnsi="Calibri" w:eastAsiaTheme="minorEastAsia" w:cstheme="minorBidi"/>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5E36628"/>
    <w:multiLevelType w:val="hybridMultilevel"/>
    <w:tmpl w:val="44D2AA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7F24911"/>
    <w:multiLevelType w:val="hybridMultilevel"/>
    <w:tmpl w:val="7CAAE2F2"/>
    <w:lvl w:ilvl="0" w:tplc="F84C24C2">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462E94"/>
    <w:multiLevelType w:val="hybridMultilevel"/>
    <w:tmpl w:val="2174E0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532575AF"/>
    <w:multiLevelType w:val="hybridMultilevel"/>
    <w:tmpl w:val="2CFE89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C29564D"/>
    <w:multiLevelType w:val="hybridMultilevel"/>
    <w:tmpl w:val="07EADEAE"/>
    <w:lvl w:ilvl="0" w:tplc="8F202296">
      <w:numFmt w:val="bullet"/>
      <w:lvlText w:val="-"/>
      <w:lvlJc w:val="left"/>
      <w:pPr>
        <w:ind w:left="1431" w:hanging="360"/>
      </w:pPr>
      <w:rPr>
        <w:rFonts w:hint="default" w:ascii="Calibri" w:hAnsi="Calibri" w:cs="Calibri" w:eastAsiaTheme="minorHAnsi"/>
      </w:rPr>
    </w:lvl>
    <w:lvl w:ilvl="1" w:tplc="08090003">
      <w:start w:val="1"/>
      <w:numFmt w:val="bullet"/>
      <w:lvlText w:val="o"/>
      <w:lvlJc w:val="left"/>
      <w:pPr>
        <w:ind w:left="2151" w:hanging="360"/>
      </w:pPr>
      <w:rPr>
        <w:rFonts w:hint="default" w:ascii="Courier New" w:hAnsi="Courier New" w:cs="Courier New"/>
      </w:rPr>
    </w:lvl>
    <w:lvl w:ilvl="2" w:tplc="8F202296">
      <w:numFmt w:val="bullet"/>
      <w:lvlText w:val="-"/>
      <w:lvlJc w:val="left"/>
      <w:pPr>
        <w:ind w:left="2871" w:hanging="360"/>
      </w:pPr>
      <w:rPr>
        <w:rFonts w:hint="default" w:ascii="Calibri" w:hAnsi="Calibri" w:cs="Calibri" w:eastAsiaTheme="minorHAnsi"/>
      </w:rPr>
    </w:lvl>
    <w:lvl w:ilvl="3" w:tplc="08090001" w:tentative="1">
      <w:start w:val="1"/>
      <w:numFmt w:val="bullet"/>
      <w:lvlText w:val=""/>
      <w:lvlJc w:val="left"/>
      <w:pPr>
        <w:ind w:left="3591" w:hanging="360"/>
      </w:pPr>
      <w:rPr>
        <w:rFonts w:hint="default" w:ascii="Symbol" w:hAnsi="Symbol"/>
      </w:rPr>
    </w:lvl>
    <w:lvl w:ilvl="4" w:tplc="08090003" w:tentative="1">
      <w:start w:val="1"/>
      <w:numFmt w:val="bullet"/>
      <w:lvlText w:val="o"/>
      <w:lvlJc w:val="left"/>
      <w:pPr>
        <w:ind w:left="4311" w:hanging="360"/>
      </w:pPr>
      <w:rPr>
        <w:rFonts w:hint="default" w:ascii="Courier New" w:hAnsi="Courier New" w:cs="Courier New"/>
      </w:rPr>
    </w:lvl>
    <w:lvl w:ilvl="5" w:tplc="08090005" w:tentative="1">
      <w:start w:val="1"/>
      <w:numFmt w:val="bullet"/>
      <w:lvlText w:val=""/>
      <w:lvlJc w:val="left"/>
      <w:pPr>
        <w:ind w:left="5031" w:hanging="360"/>
      </w:pPr>
      <w:rPr>
        <w:rFonts w:hint="default" w:ascii="Wingdings" w:hAnsi="Wingdings"/>
      </w:rPr>
    </w:lvl>
    <w:lvl w:ilvl="6" w:tplc="08090001" w:tentative="1">
      <w:start w:val="1"/>
      <w:numFmt w:val="bullet"/>
      <w:lvlText w:val=""/>
      <w:lvlJc w:val="left"/>
      <w:pPr>
        <w:ind w:left="5751" w:hanging="360"/>
      </w:pPr>
      <w:rPr>
        <w:rFonts w:hint="default" w:ascii="Symbol" w:hAnsi="Symbol"/>
      </w:rPr>
    </w:lvl>
    <w:lvl w:ilvl="7" w:tplc="08090003" w:tentative="1">
      <w:start w:val="1"/>
      <w:numFmt w:val="bullet"/>
      <w:lvlText w:val="o"/>
      <w:lvlJc w:val="left"/>
      <w:pPr>
        <w:ind w:left="6471" w:hanging="360"/>
      </w:pPr>
      <w:rPr>
        <w:rFonts w:hint="default" w:ascii="Courier New" w:hAnsi="Courier New" w:cs="Courier New"/>
      </w:rPr>
    </w:lvl>
    <w:lvl w:ilvl="8" w:tplc="08090005" w:tentative="1">
      <w:start w:val="1"/>
      <w:numFmt w:val="bullet"/>
      <w:lvlText w:val=""/>
      <w:lvlJc w:val="left"/>
      <w:pPr>
        <w:ind w:left="7191" w:hanging="360"/>
      </w:pPr>
      <w:rPr>
        <w:rFonts w:hint="default" w:ascii="Wingdings" w:hAnsi="Wingdings"/>
      </w:rPr>
    </w:lvl>
  </w:abstractNum>
  <w:abstractNum w:abstractNumId="34" w15:restartNumberingAfterBreak="0">
    <w:nsid w:val="60C8184D"/>
    <w:multiLevelType w:val="hybridMultilevel"/>
    <w:tmpl w:val="03506A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325437C"/>
    <w:multiLevelType w:val="hybridMultilevel"/>
    <w:tmpl w:val="3E72EE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5860583"/>
    <w:multiLevelType w:val="hybridMultilevel"/>
    <w:tmpl w:val="EB580F2E"/>
    <w:lvl w:ilvl="0" w:tplc="96023190">
      <w:start w:val="2022"/>
      <w:numFmt w:val="bullet"/>
      <w:lvlText w:val="-"/>
      <w:lvlJc w:val="left"/>
      <w:pPr>
        <w:ind w:left="720" w:hanging="360"/>
      </w:pPr>
      <w:rPr>
        <w:rFonts w:hint="default" w:ascii="Calibri" w:hAnsi="Calibri" w:eastAsia="Calibri" w:cs="Calibr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7" w15:restartNumberingAfterBreak="0">
    <w:nsid w:val="658E434E"/>
    <w:multiLevelType w:val="hybridMultilevel"/>
    <w:tmpl w:val="89DC2BA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70EF45B6"/>
    <w:multiLevelType w:val="hybridMultilevel"/>
    <w:tmpl w:val="EACE9A90"/>
    <w:lvl w:ilvl="0" w:tplc="BF20A9C2">
      <w:numFmt w:val="bullet"/>
      <w:lvlText w:val="-"/>
      <w:lvlJc w:val="left"/>
      <w:pPr>
        <w:ind w:left="720" w:hanging="360"/>
      </w:pPr>
      <w:rPr>
        <w:rFonts w:hint="default" w:ascii="Times New Roman" w:hAnsi="Times New Roman" w:cs="Times New Roman"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10C1B35"/>
    <w:multiLevelType w:val="hybridMultilevel"/>
    <w:tmpl w:val="0180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E065E7"/>
    <w:multiLevelType w:val="hybridMultilevel"/>
    <w:tmpl w:val="7CBE1586"/>
    <w:lvl w:ilvl="0" w:tplc="A28C3D0C">
      <w:numFmt w:val="bullet"/>
      <w:lvlText w:val=""/>
      <w:lvlJc w:val="left"/>
      <w:pPr>
        <w:ind w:left="720" w:hanging="360"/>
      </w:pPr>
      <w:rPr>
        <w:rFonts w:hint="default" w:ascii="Symbol" w:hAnsi="Symbol" w:eastAsiaTheme="minorHAnsi" w:cstheme="minorBidi"/>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8BE5D16"/>
    <w:multiLevelType w:val="hybridMultilevel"/>
    <w:tmpl w:val="C220E2D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B61096B"/>
    <w:multiLevelType w:val="hybridMultilevel"/>
    <w:tmpl w:val="7D2A39B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BCF1809"/>
    <w:multiLevelType w:val="hybridMultilevel"/>
    <w:tmpl w:val="6FBABE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0"/>
  </w:num>
  <w:num w:numId="2">
    <w:abstractNumId w:val="34"/>
  </w:num>
  <w:num w:numId="3">
    <w:abstractNumId w:val="10"/>
  </w:num>
  <w:num w:numId="4">
    <w:abstractNumId w:val="15"/>
  </w:num>
  <w:num w:numId="5">
    <w:abstractNumId w:val="3"/>
  </w:num>
  <w:num w:numId="6">
    <w:abstractNumId w:val="19"/>
  </w:num>
  <w:num w:numId="7">
    <w:abstractNumId w:val="42"/>
  </w:num>
  <w:num w:numId="8">
    <w:abstractNumId w:val="1"/>
  </w:num>
  <w:num w:numId="9">
    <w:abstractNumId w:val="12"/>
  </w:num>
  <w:num w:numId="10">
    <w:abstractNumId w:val="25"/>
  </w:num>
  <w:num w:numId="11">
    <w:abstractNumId w:val="40"/>
  </w:num>
  <w:num w:numId="12">
    <w:abstractNumId w:val="13"/>
  </w:num>
  <w:num w:numId="13">
    <w:abstractNumId w:val="36"/>
  </w:num>
  <w:num w:numId="14">
    <w:abstractNumId w:val="2"/>
  </w:num>
  <w:num w:numId="15">
    <w:abstractNumId w:val="32"/>
  </w:num>
  <w:num w:numId="16">
    <w:abstractNumId w:val="18"/>
  </w:num>
  <w:num w:numId="17">
    <w:abstractNumId w:val="11"/>
  </w:num>
  <w:num w:numId="18">
    <w:abstractNumId w:val="7"/>
  </w:num>
  <w:num w:numId="19">
    <w:abstractNumId w:val="6"/>
  </w:num>
  <w:num w:numId="20">
    <w:abstractNumId w:val="17"/>
  </w:num>
  <w:num w:numId="21">
    <w:abstractNumId w:val="37"/>
  </w:num>
  <w:num w:numId="22">
    <w:abstractNumId w:val="26"/>
  </w:num>
  <w:num w:numId="23">
    <w:abstractNumId w:val="5"/>
  </w:num>
  <w:num w:numId="24">
    <w:abstractNumId w:val="39"/>
  </w:num>
  <w:num w:numId="25">
    <w:abstractNumId w:val="29"/>
  </w:num>
  <w:num w:numId="26">
    <w:abstractNumId w:val="38"/>
  </w:num>
  <w:num w:numId="27">
    <w:abstractNumId w:val="41"/>
  </w:num>
  <w:num w:numId="28">
    <w:abstractNumId w:val="43"/>
  </w:num>
  <w:num w:numId="29">
    <w:abstractNumId w:val="8"/>
  </w:num>
  <w:num w:numId="30">
    <w:abstractNumId w:val="35"/>
  </w:num>
  <w:num w:numId="31">
    <w:abstractNumId w:val="23"/>
  </w:num>
  <w:num w:numId="32">
    <w:abstractNumId w:val="21"/>
  </w:num>
  <w:num w:numId="33">
    <w:abstractNumId w:val="31"/>
  </w:num>
  <w:num w:numId="34">
    <w:abstractNumId w:val="20"/>
  </w:num>
  <w:num w:numId="35">
    <w:abstractNumId w:val="16"/>
  </w:num>
  <w:num w:numId="36">
    <w:abstractNumId w:val="24"/>
  </w:num>
  <w:num w:numId="37">
    <w:abstractNumId w:val="9"/>
  </w:num>
  <w:num w:numId="38">
    <w:abstractNumId w:val="22"/>
  </w:num>
  <w:num w:numId="39">
    <w:abstractNumId w:val="30"/>
  </w:num>
  <w:num w:numId="40">
    <w:abstractNumId w:val="27"/>
  </w:num>
  <w:num w:numId="41">
    <w:abstractNumId w:val="4"/>
  </w:num>
  <w:num w:numId="42">
    <w:abstractNumId w:val="28"/>
  </w:num>
  <w:num w:numId="43">
    <w:abstractNumId w:val="33"/>
  </w:num>
  <w:num w:numId="44">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removePersonalInformation/>
  <w:removeDateAndTime/>
  <w:bordersDoNotSurroundHeader/>
  <w:bordersDoNotSurroundFooter/>
  <w:activeWritingStyle w:lang="it-IT" w:vendorID="64" w:dllVersion="6" w:nlCheck="1" w:checkStyle="0" w:appName="MSWord"/>
  <w:activeWritingStyle w:lang="en-US" w:vendorID="64" w:dllVersion="6" w:nlCheck="1" w:checkStyle="1" w:appName="MSWord"/>
  <w:activeWritingStyle w:lang="en-GB" w:vendorID="64" w:dllVersion="6" w:nlCheck="1" w:checkStyle="1" w:appName="MSWord"/>
  <w:activeWritingStyle w:lang="en-GB" w:vendorID="64" w:dllVersion="0" w:nlCheck="1" w:checkStyle="0" w:appName="MSWord"/>
  <w:activeWritingStyle w:lang="en-US" w:vendorID="64" w:dllVersion="0" w:nlCheck="1" w:checkStyle="0" w:appName="MSWord"/>
  <w:activeWritingStyle w:lang="en-AU" w:vendorID="64" w:dllVersion="0" w:nlCheck="1" w:checkStyle="0" w:appName="MSWord"/>
  <w:activeWritingStyle w:lang="en-AU" w:vendorID="64" w:dllVersion="6" w:nlCheck="1" w:checkStyle="1" w:appName="MSWord"/>
  <w:activeWritingStyle w:lang="en-GB" w:vendorID="64" w:dllVersion="4096" w:nlCheck="1" w:checkStyle="0" w:appName="MSWord"/>
  <w:activeWritingStyle w:lang="en-US" w:vendorID="64" w:dllVersion="4096" w:nlCheck="1" w:checkStyle="0" w:appName="MSWord"/>
  <w:activeWritingStyle w:lang="fr-FR" w:vendorID="64" w:dllVersion="6" w:nlCheck="1" w:checkStyle="0" w:appName="MSWord"/>
  <w:activeWritingStyle w:lang="it-IT" w:vendorID="64" w:dllVersion="0" w:nlCheck="1" w:checkStyle="0" w:appName="MSWord"/>
  <w:activeWritingStyle w:lang="fr-FR" w:vendorID="64" w:dllVersion="0" w:nlCheck="1" w:checkStyle="0" w:appName="MSWord"/>
  <w:proofState w:spelling="clean"/>
  <w:trackRevisions/>
  <w:defaultTabStop w:val="720"/>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64A"/>
    <w:rsid w:val="00000138"/>
    <w:rsid w:val="000001A8"/>
    <w:rsid w:val="00000370"/>
    <w:rsid w:val="000005EF"/>
    <w:rsid w:val="00000773"/>
    <w:rsid w:val="000007B8"/>
    <w:rsid w:val="000007CC"/>
    <w:rsid w:val="00000BE0"/>
    <w:rsid w:val="00000C6F"/>
    <w:rsid w:val="00000F23"/>
    <w:rsid w:val="00000F72"/>
    <w:rsid w:val="0000108E"/>
    <w:rsid w:val="0000110E"/>
    <w:rsid w:val="0000174E"/>
    <w:rsid w:val="00001B23"/>
    <w:rsid w:val="00001E0E"/>
    <w:rsid w:val="000020FC"/>
    <w:rsid w:val="0000221D"/>
    <w:rsid w:val="000023F0"/>
    <w:rsid w:val="0000263E"/>
    <w:rsid w:val="0000267C"/>
    <w:rsid w:val="00002802"/>
    <w:rsid w:val="000033E0"/>
    <w:rsid w:val="00003769"/>
    <w:rsid w:val="00003892"/>
    <w:rsid w:val="000038FB"/>
    <w:rsid w:val="000039D6"/>
    <w:rsid w:val="00003AB5"/>
    <w:rsid w:val="00003BC1"/>
    <w:rsid w:val="00003D99"/>
    <w:rsid w:val="00003DC6"/>
    <w:rsid w:val="000040A0"/>
    <w:rsid w:val="0000426C"/>
    <w:rsid w:val="0000430F"/>
    <w:rsid w:val="000043A0"/>
    <w:rsid w:val="000046DC"/>
    <w:rsid w:val="00004E0C"/>
    <w:rsid w:val="000051B1"/>
    <w:rsid w:val="00005390"/>
    <w:rsid w:val="00005450"/>
    <w:rsid w:val="000055CC"/>
    <w:rsid w:val="000059BD"/>
    <w:rsid w:val="00005A83"/>
    <w:rsid w:val="00005CAE"/>
    <w:rsid w:val="00005E1A"/>
    <w:rsid w:val="00005E57"/>
    <w:rsid w:val="00005EBA"/>
    <w:rsid w:val="00005F74"/>
    <w:rsid w:val="00006145"/>
    <w:rsid w:val="00006161"/>
    <w:rsid w:val="0000655B"/>
    <w:rsid w:val="0000684F"/>
    <w:rsid w:val="00006FCE"/>
    <w:rsid w:val="0000717F"/>
    <w:rsid w:val="00007989"/>
    <w:rsid w:val="00007991"/>
    <w:rsid w:val="00007C71"/>
    <w:rsid w:val="00007CE1"/>
    <w:rsid w:val="00007D06"/>
    <w:rsid w:val="00007F74"/>
    <w:rsid w:val="0001027F"/>
    <w:rsid w:val="000103EB"/>
    <w:rsid w:val="0001079A"/>
    <w:rsid w:val="00010801"/>
    <w:rsid w:val="00010A98"/>
    <w:rsid w:val="00010E86"/>
    <w:rsid w:val="000116B8"/>
    <w:rsid w:val="00011B18"/>
    <w:rsid w:val="00011B70"/>
    <w:rsid w:val="00011F07"/>
    <w:rsid w:val="000122C2"/>
    <w:rsid w:val="000123D0"/>
    <w:rsid w:val="00012525"/>
    <w:rsid w:val="00012919"/>
    <w:rsid w:val="00012970"/>
    <w:rsid w:val="00012DA5"/>
    <w:rsid w:val="0001374D"/>
    <w:rsid w:val="0001377E"/>
    <w:rsid w:val="000137D4"/>
    <w:rsid w:val="00013936"/>
    <w:rsid w:val="00013946"/>
    <w:rsid w:val="00013BDE"/>
    <w:rsid w:val="00013CCE"/>
    <w:rsid w:val="00013F20"/>
    <w:rsid w:val="0001439C"/>
    <w:rsid w:val="00014415"/>
    <w:rsid w:val="00014463"/>
    <w:rsid w:val="00014489"/>
    <w:rsid w:val="00014542"/>
    <w:rsid w:val="000146DE"/>
    <w:rsid w:val="0001483E"/>
    <w:rsid w:val="0001484D"/>
    <w:rsid w:val="0001496A"/>
    <w:rsid w:val="00014DE3"/>
    <w:rsid w:val="00015135"/>
    <w:rsid w:val="000151CE"/>
    <w:rsid w:val="00015474"/>
    <w:rsid w:val="0001567F"/>
    <w:rsid w:val="00015682"/>
    <w:rsid w:val="0001570C"/>
    <w:rsid w:val="00015C1C"/>
    <w:rsid w:val="00015E4C"/>
    <w:rsid w:val="000163EB"/>
    <w:rsid w:val="00016651"/>
    <w:rsid w:val="00016BEA"/>
    <w:rsid w:val="00016C39"/>
    <w:rsid w:val="00017437"/>
    <w:rsid w:val="000175A5"/>
    <w:rsid w:val="00017C13"/>
    <w:rsid w:val="00020247"/>
    <w:rsid w:val="000202E7"/>
    <w:rsid w:val="000208C9"/>
    <w:rsid w:val="00020936"/>
    <w:rsid w:val="000211BF"/>
    <w:rsid w:val="000213E6"/>
    <w:rsid w:val="00021AF2"/>
    <w:rsid w:val="00021CAD"/>
    <w:rsid w:val="00021D9A"/>
    <w:rsid w:val="00021DB1"/>
    <w:rsid w:val="00022453"/>
    <w:rsid w:val="0002279A"/>
    <w:rsid w:val="00022B6F"/>
    <w:rsid w:val="00022DF6"/>
    <w:rsid w:val="00022E80"/>
    <w:rsid w:val="00023F7D"/>
    <w:rsid w:val="00024131"/>
    <w:rsid w:val="00024B18"/>
    <w:rsid w:val="00024C2C"/>
    <w:rsid w:val="00025170"/>
    <w:rsid w:val="000252C5"/>
    <w:rsid w:val="000256D8"/>
    <w:rsid w:val="000257F5"/>
    <w:rsid w:val="00025B1B"/>
    <w:rsid w:val="00025B96"/>
    <w:rsid w:val="00025E57"/>
    <w:rsid w:val="0002600F"/>
    <w:rsid w:val="000260D2"/>
    <w:rsid w:val="00026117"/>
    <w:rsid w:val="000262D6"/>
    <w:rsid w:val="00026CD4"/>
    <w:rsid w:val="000271B4"/>
    <w:rsid w:val="000273B3"/>
    <w:rsid w:val="00027539"/>
    <w:rsid w:val="000278C0"/>
    <w:rsid w:val="00027909"/>
    <w:rsid w:val="00027B1B"/>
    <w:rsid w:val="00027E85"/>
    <w:rsid w:val="00030058"/>
    <w:rsid w:val="000300B3"/>
    <w:rsid w:val="00030316"/>
    <w:rsid w:val="0003043C"/>
    <w:rsid w:val="00030617"/>
    <w:rsid w:val="000308C8"/>
    <w:rsid w:val="00031081"/>
    <w:rsid w:val="0003119F"/>
    <w:rsid w:val="0003136F"/>
    <w:rsid w:val="000315BB"/>
    <w:rsid w:val="00031AB4"/>
    <w:rsid w:val="00031CAC"/>
    <w:rsid w:val="00031DCD"/>
    <w:rsid w:val="0003247F"/>
    <w:rsid w:val="00032661"/>
    <w:rsid w:val="00032CB2"/>
    <w:rsid w:val="00032CF1"/>
    <w:rsid w:val="000332E9"/>
    <w:rsid w:val="000336F1"/>
    <w:rsid w:val="0003373C"/>
    <w:rsid w:val="000341BF"/>
    <w:rsid w:val="0003445E"/>
    <w:rsid w:val="000349B7"/>
    <w:rsid w:val="000354ED"/>
    <w:rsid w:val="0003566A"/>
    <w:rsid w:val="000358B6"/>
    <w:rsid w:val="000358BB"/>
    <w:rsid w:val="00035B2B"/>
    <w:rsid w:val="00035C67"/>
    <w:rsid w:val="00035C76"/>
    <w:rsid w:val="0003617E"/>
    <w:rsid w:val="000361A1"/>
    <w:rsid w:val="000362B2"/>
    <w:rsid w:val="00036495"/>
    <w:rsid w:val="00036712"/>
    <w:rsid w:val="0003683B"/>
    <w:rsid w:val="00036C2B"/>
    <w:rsid w:val="00036F88"/>
    <w:rsid w:val="00037F35"/>
    <w:rsid w:val="000401D7"/>
    <w:rsid w:val="00040849"/>
    <w:rsid w:val="000408AE"/>
    <w:rsid w:val="00040D42"/>
    <w:rsid w:val="00040D44"/>
    <w:rsid w:val="00040DA1"/>
    <w:rsid w:val="00041098"/>
    <w:rsid w:val="00041424"/>
    <w:rsid w:val="0004189A"/>
    <w:rsid w:val="000418E4"/>
    <w:rsid w:val="0004193F"/>
    <w:rsid w:val="00041A56"/>
    <w:rsid w:val="00041C11"/>
    <w:rsid w:val="0004208C"/>
    <w:rsid w:val="000424C2"/>
    <w:rsid w:val="0004279B"/>
    <w:rsid w:val="00042820"/>
    <w:rsid w:val="00042967"/>
    <w:rsid w:val="00042D86"/>
    <w:rsid w:val="0004320A"/>
    <w:rsid w:val="00043C8A"/>
    <w:rsid w:val="00043E80"/>
    <w:rsid w:val="00044081"/>
    <w:rsid w:val="000440E5"/>
    <w:rsid w:val="00044268"/>
    <w:rsid w:val="000443F3"/>
    <w:rsid w:val="00044521"/>
    <w:rsid w:val="000446F5"/>
    <w:rsid w:val="0004477C"/>
    <w:rsid w:val="00044794"/>
    <w:rsid w:val="00044888"/>
    <w:rsid w:val="0004498D"/>
    <w:rsid w:val="00044990"/>
    <w:rsid w:val="000449D2"/>
    <w:rsid w:val="00044B5B"/>
    <w:rsid w:val="00044C92"/>
    <w:rsid w:val="00044F25"/>
    <w:rsid w:val="00044F29"/>
    <w:rsid w:val="00045004"/>
    <w:rsid w:val="000455BA"/>
    <w:rsid w:val="00045894"/>
    <w:rsid w:val="00045902"/>
    <w:rsid w:val="00045CC9"/>
    <w:rsid w:val="00045DE0"/>
    <w:rsid w:val="00045FED"/>
    <w:rsid w:val="00046301"/>
    <w:rsid w:val="0004673F"/>
    <w:rsid w:val="00046DA9"/>
    <w:rsid w:val="00046F1D"/>
    <w:rsid w:val="0004713C"/>
    <w:rsid w:val="0004729A"/>
    <w:rsid w:val="000476D5"/>
    <w:rsid w:val="000476E1"/>
    <w:rsid w:val="00047DF5"/>
    <w:rsid w:val="00047E7E"/>
    <w:rsid w:val="00047F07"/>
    <w:rsid w:val="000501BB"/>
    <w:rsid w:val="00050678"/>
    <w:rsid w:val="00050792"/>
    <w:rsid w:val="0005084A"/>
    <w:rsid w:val="00050DC6"/>
    <w:rsid w:val="00051154"/>
    <w:rsid w:val="0005130D"/>
    <w:rsid w:val="000513CA"/>
    <w:rsid w:val="000515A0"/>
    <w:rsid w:val="00051633"/>
    <w:rsid w:val="000516F1"/>
    <w:rsid w:val="000518A5"/>
    <w:rsid w:val="00051E61"/>
    <w:rsid w:val="00052163"/>
    <w:rsid w:val="000522CF"/>
    <w:rsid w:val="000523FB"/>
    <w:rsid w:val="0005281B"/>
    <w:rsid w:val="00052B4B"/>
    <w:rsid w:val="00052C9A"/>
    <w:rsid w:val="0005318A"/>
    <w:rsid w:val="00053357"/>
    <w:rsid w:val="0005372E"/>
    <w:rsid w:val="00053F03"/>
    <w:rsid w:val="0005407D"/>
    <w:rsid w:val="000540EE"/>
    <w:rsid w:val="00054126"/>
    <w:rsid w:val="00054290"/>
    <w:rsid w:val="000543FD"/>
    <w:rsid w:val="0005442F"/>
    <w:rsid w:val="00054731"/>
    <w:rsid w:val="00054A15"/>
    <w:rsid w:val="00054B91"/>
    <w:rsid w:val="00054D52"/>
    <w:rsid w:val="0005522E"/>
    <w:rsid w:val="00055407"/>
    <w:rsid w:val="0005542B"/>
    <w:rsid w:val="0005583A"/>
    <w:rsid w:val="00055861"/>
    <w:rsid w:val="00056033"/>
    <w:rsid w:val="0005653A"/>
    <w:rsid w:val="00056881"/>
    <w:rsid w:val="00056960"/>
    <w:rsid w:val="00056BDF"/>
    <w:rsid w:val="00056C93"/>
    <w:rsid w:val="00056CCE"/>
    <w:rsid w:val="00056FCB"/>
    <w:rsid w:val="0005720B"/>
    <w:rsid w:val="00057331"/>
    <w:rsid w:val="000575B1"/>
    <w:rsid w:val="00057CD0"/>
    <w:rsid w:val="000602B1"/>
    <w:rsid w:val="00060460"/>
    <w:rsid w:val="00060A32"/>
    <w:rsid w:val="00060DB8"/>
    <w:rsid w:val="00060F47"/>
    <w:rsid w:val="000611CC"/>
    <w:rsid w:val="0006167F"/>
    <w:rsid w:val="000616E5"/>
    <w:rsid w:val="00061866"/>
    <w:rsid w:val="000619B8"/>
    <w:rsid w:val="00061B3E"/>
    <w:rsid w:val="00061B9D"/>
    <w:rsid w:val="00061EEA"/>
    <w:rsid w:val="00062430"/>
    <w:rsid w:val="00062867"/>
    <w:rsid w:val="00062A2F"/>
    <w:rsid w:val="00062F6B"/>
    <w:rsid w:val="0006306D"/>
    <w:rsid w:val="000631BB"/>
    <w:rsid w:val="0006362D"/>
    <w:rsid w:val="00063963"/>
    <w:rsid w:val="00063BAB"/>
    <w:rsid w:val="00063D77"/>
    <w:rsid w:val="00063F77"/>
    <w:rsid w:val="000642F4"/>
    <w:rsid w:val="00064607"/>
    <w:rsid w:val="00064B0F"/>
    <w:rsid w:val="00064ECA"/>
    <w:rsid w:val="0006506D"/>
    <w:rsid w:val="000652F0"/>
    <w:rsid w:val="0006548C"/>
    <w:rsid w:val="00066183"/>
    <w:rsid w:val="000661BC"/>
    <w:rsid w:val="000663BC"/>
    <w:rsid w:val="000663DC"/>
    <w:rsid w:val="000663FB"/>
    <w:rsid w:val="00066A0C"/>
    <w:rsid w:val="00066AA2"/>
    <w:rsid w:val="00066ADF"/>
    <w:rsid w:val="00066D1A"/>
    <w:rsid w:val="000670F3"/>
    <w:rsid w:val="000678F1"/>
    <w:rsid w:val="000679DF"/>
    <w:rsid w:val="00067CCF"/>
    <w:rsid w:val="00067F70"/>
    <w:rsid w:val="00070355"/>
    <w:rsid w:val="0007047E"/>
    <w:rsid w:val="000709C9"/>
    <w:rsid w:val="00070E7B"/>
    <w:rsid w:val="000712BD"/>
    <w:rsid w:val="0007159D"/>
    <w:rsid w:val="000715F7"/>
    <w:rsid w:val="000717DB"/>
    <w:rsid w:val="0007180E"/>
    <w:rsid w:val="00071B1B"/>
    <w:rsid w:val="00072219"/>
    <w:rsid w:val="00072687"/>
    <w:rsid w:val="000726DA"/>
    <w:rsid w:val="0007274A"/>
    <w:rsid w:val="0007276D"/>
    <w:rsid w:val="000728E7"/>
    <w:rsid w:val="00072931"/>
    <w:rsid w:val="00072FDA"/>
    <w:rsid w:val="00073090"/>
    <w:rsid w:val="000730BB"/>
    <w:rsid w:val="000733DF"/>
    <w:rsid w:val="00073836"/>
    <w:rsid w:val="00073AF4"/>
    <w:rsid w:val="00073D1E"/>
    <w:rsid w:val="00074329"/>
    <w:rsid w:val="00074435"/>
    <w:rsid w:val="00074441"/>
    <w:rsid w:val="000744DD"/>
    <w:rsid w:val="000749E9"/>
    <w:rsid w:val="00074E57"/>
    <w:rsid w:val="00074E73"/>
    <w:rsid w:val="000750A8"/>
    <w:rsid w:val="000750CC"/>
    <w:rsid w:val="000752C9"/>
    <w:rsid w:val="00075BC2"/>
    <w:rsid w:val="00075BE7"/>
    <w:rsid w:val="00075DD3"/>
    <w:rsid w:val="00075FF5"/>
    <w:rsid w:val="0007617B"/>
    <w:rsid w:val="000761D9"/>
    <w:rsid w:val="000762D1"/>
    <w:rsid w:val="00076547"/>
    <w:rsid w:val="000765D9"/>
    <w:rsid w:val="00076697"/>
    <w:rsid w:val="00076BF0"/>
    <w:rsid w:val="00076DBC"/>
    <w:rsid w:val="00076E8F"/>
    <w:rsid w:val="00077357"/>
    <w:rsid w:val="00077989"/>
    <w:rsid w:val="000779C6"/>
    <w:rsid w:val="00077F5F"/>
    <w:rsid w:val="0008038E"/>
    <w:rsid w:val="0008059D"/>
    <w:rsid w:val="0008095D"/>
    <w:rsid w:val="000809BC"/>
    <w:rsid w:val="00080A1B"/>
    <w:rsid w:val="00080D4F"/>
    <w:rsid w:val="00081AF7"/>
    <w:rsid w:val="000820A5"/>
    <w:rsid w:val="000820B0"/>
    <w:rsid w:val="0008247A"/>
    <w:rsid w:val="00082C79"/>
    <w:rsid w:val="00082D7A"/>
    <w:rsid w:val="000830CA"/>
    <w:rsid w:val="000832C2"/>
    <w:rsid w:val="0008338F"/>
    <w:rsid w:val="000834E2"/>
    <w:rsid w:val="0008360B"/>
    <w:rsid w:val="00083EFE"/>
    <w:rsid w:val="00084104"/>
    <w:rsid w:val="00084491"/>
    <w:rsid w:val="0008486A"/>
    <w:rsid w:val="000850A4"/>
    <w:rsid w:val="000850FD"/>
    <w:rsid w:val="000854AD"/>
    <w:rsid w:val="000855CB"/>
    <w:rsid w:val="000856BA"/>
    <w:rsid w:val="0008623A"/>
    <w:rsid w:val="000863C6"/>
    <w:rsid w:val="00086973"/>
    <w:rsid w:val="00086AD7"/>
    <w:rsid w:val="0008713B"/>
    <w:rsid w:val="0008738A"/>
    <w:rsid w:val="00087491"/>
    <w:rsid w:val="0008750C"/>
    <w:rsid w:val="000876F3"/>
    <w:rsid w:val="00087734"/>
    <w:rsid w:val="00087871"/>
    <w:rsid w:val="0009045C"/>
    <w:rsid w:val="00090643"/>
    <w:rsid w:val="0009065C"/>
    <w:rsid w:val="000906FF"/>
    <w:rsid w:val="000908C0"/>
    <w:rsid w:val="0009106D"/>
    <w:rsid w:val="00091179"/>
    <w:rsid w:val="00091B17"/>
    <w:rsid w:val="00091CB3"/>
    <w:rsid w:val="0009233A"/>
    <w:rsid w:val="0009276F"/>
    <w:rsid w:val="00092B2A"/>
    <w:rsid w:val="00092ED8"/>
    <w:rsid w:val="00093504"/>
    <w:rsid w:val="00093554"/>
    <w:rsid w:val="00093A35"/>
    <w:rsid w:val="00093AE8"/>
    <w:rsid w:val="00093D35"/>
    <w:rsid w:val="00093FAD"/>
    <w:rsid w:val="00094399"/>
    <w:rsid w:val="00094471"/>
    <w:rsid w:val="0009489B"/>
    <w:rsid w:val="00094AD9"/>
    <w:rsid w:val="00094BB1"/>
    <w:rsid w:val="00094BD7"/>
    <w:rsid w:val="00094F45"/>
    <w:rsid w:val="0009502D"/>
    <w:rsid w:val="000950F7"/>
    <w:rsid w:val="00095136"/>
    <w:rsid w:val="0009537F"/>
    <w:rsid w:val="00095490"/>
    <w:rsid w:val="00095AB3"/>
    <w:rsid w:val="00095D4E"/>
    <w:rsid w:val="00095F12"/>
    <w:rsid w:val="0009614F"/>
    <w:rsid w:val="0009653F"/>
    <w:rsid w:val="00096A31"/>
    <w:rsid w:val="00096BAC"/>
    <w:rsid w:val="000971C3"/>
    <w:rsid w:val="000976E0"/>
    <w:rsid w:val="00097C98"/>
    <w:rsid w:val="000A0492"/>
    <w:rsid w:val="000A0583"/>
    <w:rsid w:val="000A0701"/>
    <w:rsid w:val="000A0BF2"/>
    <w:rsid w:val="000A0C15"/>
    <w:rsid w:val="000A1409"/>
    <w:rsid w:val="000A1551"/>
    <w:rsid w:val="000A15B0"/>
    <w:rsid w:val="000A1A17"/>
    <w:rsid w:val="000A1D52"/>
    <w:rsid w:val="000A214E"/>
    <w:rsid w:val="000A2400"/>
    <w:rsid w:val="000A251F"/>
    <w:rsid w:val="000A29AC"/>
    <w:rsid w:val="000A32B5"/>
    <w:rsid w:val="000A3601"/>
    <w:rsid w:val="000A36AE"/>
    <w:rsid w:val="000A3D76"/>
    <w:rsid w:val="000A408C"/>
    <w:rsid w:val="000A4826"/>
    <w:rsid w:val="000A4941"/>
    <w:rsid w:val="000A4BCB"/>
    <w:rsid w:val="000A4C5B"/>
    <w:rsid w:val="000A4D7D"/>
    <w:rsid w:val="000A5353"/>
    <w:rsid w:val="000A56E1"/>
    <w:rsid w:val="000A57BB"/>
    <w:rsid w:val="000A5961"/>
    <w:rsid w:val="000A5A98"/>
    <w:rsid w:val="000A5C48"/>
    <w:rsid w:val="000A6211"/>
    <w:rsid w:val="000A6278"/>
    <w:rsid w:val="000A654E"/>
    <w:rsid w:val="000A69A7"/>
    <w:rsid w:val="000A6B3D"/>
    <w:rsid w:val="000A6D7C"/>
    <w:rsid w:val="000A7563"/>
    <w:rsid w:val="000A7924"/>
    <w:rsid w:val="000A7CCB"/>
    <w:rsid w:val="000A7D8E"/>
    <w:rsid w:val="000B0101"/>
    <w:rsid w:val="000B0143"/>
    <w:rsid w:val="000B090C"/>
    <w:rsid w:val="000B0A3A"/>
    <w:rsid w:val="000B1220"/>
    <w:rsid w:val="000B1506"/>
    <w:rsid w:val="000B1549"/>
    <w:rsid w:val="000B1CC6"/>
    <w:rsid w:val="000B2235"/>
    <w:rsid w:val="000B27F4"/>
    <w:rsid w:val="000B295C"/>
    <w:rsid w:val="000B2E04"/>
    <w:rsid w:val="000B3027"/>
    <w:rsid w:val="000B35D1"/>
    <w:rsid w:val="000B379D"/>
    <w:rsid w:val="000B3805"/>
    <w:rsid w:val="000B3B66"/>
    <w:rsid w:val="000B3BEF"/>
    <w:rsid w:val="000B3E18"/>
    <w:rsid w:val="000B455C"/>
    <w:rsid w:val="000B45CE"/>
    <w:rsid w:val="000B4877"/>
    <w:rsid w:val="000B4904"/>
    <w:rsid w:val="000B4A18"/>
    <w:rsid w:val="000B4AFF"/>
    <w:rsid w:val="000B4D01"/>
    <w:rsid w:val="000B4F16"/>
    <w:rsid w:val="000B513B"/>
    <w:rsid w:val="000B57A9"/>
    <w:rsid w:val="000B5B5C"/>
    <w:rsid w:val="000B5C16"/>
    <w:rsid w:val="000B5DAB"/>
    <w:rsid w:val="000B5F6D"/>
    <w:rsid w:val="000B64D1"/>
    <w:rsid w:val="000B65EE"/>
    <w:rsid w:val="000B6680"/>
    <w:rsid w:val="000B66A3"/>
    <w:rsid w:val="000B676C"/>
    <w:rsid w:val="000B70EA"/>
    <w:rsid w:val="000B710B"/>
    <w:rsid w:val="000B740B"/>
    <w:rsid w:val="000B76E3"/>
    <w:rsid w:val="000B7713"/>
    <w:rsid w:val="000B7CB3"/>
    <w:rsid w:val="000C0062"/>
    <w:rsid w:val="000C006D"/>
    <w:rsid w:val="000C02CA"/>
    <w:rsid w:val="000C02E9"/>
    <w:rsid w:val="000C045A"/>
    <w:rsid w:val="000C04DE"/>
    <w:rsid w:val="000C05D7"/>
    <w:rsid w:val="000C0630"/>
    <w:rsid w:val="000C0B64"/>
    <w:rsid w:val="000C0EC0"/>
    <w:rsid w:val="000C1254"/>
    <w:rsid w:val="000C143B"/>
    <w:rsid w:val="000C1488"/>
    <w:rsid w:val="000C16BB"/>
    <w:rsid w:val="000C1F57"/>
    <w:rsid w:val="000C21B2"/>
    <w:rsid w:val="000C2341"/>
    <w:rsid w:val="000C245F"/>
    <w:rsid w:val="000C2510"/>
    <w:rsid w:val="000C279C"/>
    <w:rsid w:val="000C2BBF"/>
    <w:rsid w:val="000C2CB1"/>
    <w:rsid w:val="000C2DA4"/>
    <w:rsid w:val="000C2EAD"/>
    <w:rsid w:val="000C2F25"/>
    <w:rsid w:val="000C31E7"/>
    <w:rsid w:val="000C326F"/>
    <w:rsid w:val="000C32E8"/>
    <w:rsid w:val="000C333C"/>
    <w:rsid w:val="000C3476"/>
    <w:rsid w:val="000C3D59"/>
    <w:rsid w:val="000C497F"/>
    <w:rsid w:val="000C4B41"/>
    <w:rsid w:val="000C4CB8"/>
    <w:rsid w:val="000C4DCC"/>
    <w:rsid w:val="000C4FBE"/>
    <w:rsid w:val="000C5063"/>
    <w:rsid w:val="000C52F9"/>
    <w:rsid w:val="000C5726"/>
    <w:rsid w:val="000C575A"/>
    <w:rsid w:val="000C5A17"/>
    <w:rsid w:val="000C5C99"/>
    <w:rsid w:val="000C5E33"/>
    <w:rsid w:val="000C5E9B"/>
    <w:rsid w:val="000C60A4"/>
    <w:rsid w:val="000C6547"/>
    <w:rsid w:val="000C6606"/>
    <w:rsid w:val="000C6674"/>
    <w:rsid w:val="000C6868"/>
    <w:rsid w:val="000C6900"/>
    <w:rsid w:val="000C6929"/>
    <w:rsid w:val="000C6E77"/>
    <w:rsid w:val="000C6F81"/>
    <w:rsid w:val="000C747F"/>
    <w:rsid w:val="000C74AD"/>
    <w:rsid w:val="000C7C63"/>
    <w:rsid w:val="000C7CBC"/>
    <w:rsid w:val="000C7D58"/>
    <w:rsid w:val="000C7DB4"/>
    <w:rsid w:val="000D001A"/>
    <w:rsid w:val="000D0351"/>
    <w:rsid w:val="000D067E"/>
    <w:rsid w:val="000D0AD1"/>
    <w:rsid w:val="000D0B2D"/>
    <w:rsid w:val="000D0EE1"/>
    <w:rsid w:val="000D0FF9"/>
    <w:rsid w:val="000D14A0"/>
    <w:rsid w:val="000D157C"/>
    <w:rsid w:val="000D16D5"/>
    <w:rsid w:val="000D1725"/>
    <w:rsid w:val="000D1744"/>
    <w:rsid w:val="000D1AFA"/>
    <w:rsid w:val="000D227A"/>
    <w:rsid w:val="000D26FD"/>
    <w:rsid w:val="000D278C"/>
    <w:rsid w:val="000D2BD7"/>
    <w:rsid w:val="000D2C97"/>
    <w:rsid w:val="000D2D76"/>
    <w:rsid w:val="000D3330"/>
    <w:rsid w:val="000D3716"/>
    <w:rsid w:val="000D3E15"/>
    <w:rsid w:val="000D420B"/>
    <w:rsid w:val="000D43C4"/>
    <w:rsid w:val="000D46F1"/>
    <w:rsid w:val="000D4762"/>
    <w:rsid w:val="000D48F9"/>
    <w:rsid w:val="000D4CB6"/>
    <w:rsid w:val="000D4EF8"/>
    <w:rsid w:val="000D511F"/>
    <w:rsid w:val="000D528C"/>
    <w:rsid w:val="000D5A0A"/>
    <w:rsid w:val="000D5CFE"/>
    <w:rsid w:val="000D5D13"/>
    <w:rsid w:val="000D62A4"/>
    <w:rsid w:val="000D63AA"/>
    <w:rsid w:val="000D651E"/>
    <w:rsid w:val="000D6569"/>
    <w:rsid w:val="000D6598"/>
    <w:rsid w:val="000D666F"/>
    <w:rsid w:val="000D66B0"/>
    <w:rsid w:val="000D6BE9"/>
    <w:rsid w:val="000D6C92"/>
    <w:rsid w:val="000D6E1F"/>
    <w:rsid w:val="000D6E49"/>
    <w:rsid w:val="000D6E74"/>
    <w:rsid w:val="000D72AF"/>
    <w:rsid w:val="000D793B"/>
    <w:rsid w:val="000E0014"/>
    <w:rsid w:val="000E0107"/>
    <w:rsid w:val="000E01C2"/>
    <w:rsid w:val="000E02DB"/>
    <w:rsid w:val="000E03E9"/>
    <w:rsid w:val="000E0619"/>
    <w:rsid w:val="000E0AAE"/>
    <w:rsid w:val="000E134E"/>
    <w:rsid w:val="000E15C7"/>
    <w:rsid w:val="000E1EA1"/>
    <w:rsid w:val="000E214F"/>
    <w:rsid w:val="000E236E"/>
    <w:rsid w:val="000E317F"/>
    <w:rsid w:val="000E33E5"/>
    <w:rsid w:val="000E3664"/>
    <w:rsid w:val="000E36C5"/>
    <w:rsid w:val="000E3BF1"/>
    <w:rsid w:val="000E3CFF"/>
    <w:rsid w:val="000E3FA8"/>
    <w:rsid w:val="000E3FB7"/>
    <w:rsid w:val="000E41E0"/>
    <w:rsid w:val="000E473C"/>
    <w:rsid w:val="000E4843"/>
    <w:rsid w:val="000E4D55"/>
    <w:rsid w:val="000E4D73"/>
    <w:rsid w:val="000E52A2"/>
    <w:rsid w:val="000E5416"/>
    <w:rsid w:val="000E5A13"/>
    <w:rsid w:val="000E5A6B"/>
    <w:rsid w:val="000E5A91"/>
    <w:rsid w:val="000E5B24"/>
    <w:rsid w:val="000E5F51"/>
    <w:rsid w:val="000E642B"/>
    <w:rsid w:val="000E658C"/>
    <w:rsid w:val="000E66BD"/>
    <w:rsid w:val="000E679A"/>
    <w:rsid w:val="000E6EBD"/>
    <w:rsid w:val="000E709A"/>
    <w:rsid w:val="000E70F2"/>
    <w:rsid w:val="000E731F"/>
    <w:rsid w:val="000E73A0"/>
    <w:rsid w:val="000E7803"/>
    <w:rsid w:val="000E791C"/>
    <w:rsid w:val="000E7AA8"/>
    <w:rsid w:val="000E7C42"/>
    <w:rsid w:val="000E7FB4"/>
    <w:rsid w:val="000F0061"/>
    <w:rsid w:val="000F049E"/>
    <w:rsid w:val="000F0A7E"/>
    <w:rsid w:val="000F0BD2"/>
    <w:rsid w:val="000F0DCE"/>
    <w:rsid w:val="000F15FE"/>
    <w:rsid w:val="000F183F"/>
    <w:rsid w:val="000F1A13"/>
    <w:rsid w:val="000F1AB5"/>
    <w:rsid w:val="000F1F91"/>
    <w:rsid w:val="000F2464"/>
    <w:rsid w:val="000F24CB"/>
    <w:rsid w:val="000F26DB"/>
    <w:rsid w:val="000F2950"/>
    <w:rsid w:val="000F2ECA"/>
    <w:rsid w:val="000F318F"/>
    <w:rsid w:val="000F320F"/>
    <w:rsid w:val="000F35BB"/>
    <w:rsid w:val="000F375B"/>
    <w:rsid w:val="000F3B1B"/>
    <w:rsid w:val="000F411D"/>
    <w:rsid w:val="000F438E"/>
    <w:rsid w:val="000F43FF"/>
    <w:rsid w:val="000F47E3"/>
    <w:rsid w:val="000F4890"/>
    <w:rsid w:val="000F4C34"/>
    <w:rsid w:val="000F4EDD"/>
    <w:rsid w:val="000F5237"/>
    <w:rsid w:val="000F5347"/>
    <w:rsid w:val="000F5381"/>
    <w:rsid w:val="000F54C4"/>
    <w:rsid w:val="000F58C1"/>
    <w:rsid w:val="000F5B1C"/>
    <w:rsid w:val="000F5BBD"/>
    <w:rsid w:val="000F5BF6"/>
    <w:rsid w:val="000F6119"/>
    <w:rsid w:val="000F6244"/>
    <w:rsid w:val="000F634A"/>
    <w:rsid w:val="000F6712"/>
    <w:rsid w:val="000F6B3D"/>
    <w:rsid w:val="000F6C9C"/>
    <w:rsid w:val="000F6CF9"/>
    <w:rsid w:val="000F6F4A"/>
    <w:rsid w:val="000F6FD1"/>
    <w:rsid w:val="000F73F6"/>
    <w:rsid w:val="000F7816"/>
    <w:rsid w:val="000F7A7C"/>
    <w:rsid w:val="000F7CBF"/>
    <w:rsid w:val="00100190"/>
    <w:rsid w:val="00100710"/>
    <w:rsid w:val="00100B2C"/>
    <w:rsid w:val="00100D43"/>
    <w:rsid w:val="0010141C"/>
    <w:rsid w:val="001014C6"/>
    <w:rsid w:val="00101547"/>
    <w:rsid w:val="00101778"/>
    <w:rsid w:val="00101BF1"/>
    <w:rsid w:val="00101C58"/>
    <w:rsid w:val="00102C27"/>
    <w:rsid w:val="00102D1F"/>
    <w:rsid w:val="00102DDA"/>
    <w:rsid w:val="00102E99"/>
    <w:rsid w:val="00102EAE"/>
    <w:rsid w:val="00103036"/>
    <w:rsid w:val="00103140"/>
    <w:rsid w:val="001034F4"/>
    <w:rsid w:val="0010374E"/>
    <w:rsid w:val="00103872"/>
    <w:rsid w:val="00103C88"/>
    <w:rsid w:val="00103D21"/>
    <w:rsid w:val="00104055"/>
    <w:rsid w:val="00104675"/>
    <w:rsid w:val="001046D3"/>
    <w:rsid w:val="00104BFA"/>
    <w:rsid w:val="00104E64"/>
    <w:rsid w:val="00104F22"/>
    <w:rsid w:val="00104FEC"/>
    <w:rsid w:val="00105068"/>
    <w:rsid w:val="0010509F"/>
    <w:rsid w:val="0010530A"/>
    <w:rsid w:val="0010534F"/>
    <w:rsid w:val="00105653"/>
    <w:rsid w:val="001058EC"/>
    <w:rsid w:val="00105BCC"/>
    <w:rsid w:val="001060EE"/>
    <w:rsid w:val="0010676C"/>
    <w:rsid w:val="001070A8"/>
    <w:rsid w:val="00107134"/>
    <w:rsid w:val="00107B3F"/>
    <w:rsid w:val="00107C22"/>
    <w:rsid w:val="00107DDC"/>
    <w:rsid w:val="00107E76"/>
    <w:rsid w:val="00110108"/>
    <w:rsid w:val="00110457"/>
    <w:rsid w:val="00110546"/>
    <w:rsid w:val="00110683"/>
    <w:rsid w:val="001108E7"/>
    <w:rsid w:val="001108EE"/>
    <w:rsid w:val="00110C46"/>
    <w:rsid w:val="00110E05"/>
    <w:rsid w:val="00110F0D"/>
    <w:rsid w:val="00110F43"/>
    <w:rsid w:val="0011124A"/>
    <w:rsid w:val="001115AD"/>
    <w:rsid w:val="00111931"/>
    <w:rsid w:val="00111C86"/>
    <w:rsid w:val="00111CCE"/>
    <w:rsid w:val="00111E39"/>
    <w:rsid w:val="00111F0D"/>
    <w:rsid w:val="00112179"/>
    <w:rsid w:val="00112259"/>
    <w:rsid w:val="00112673"/>
    <w:rsid w:val="001128A2"/>
    <w:rsid w:val="00112AAF"/>
    <w:rsid w:val="00112C76"/>
    <w:rsid w:val="00112F9B"/>
    <w:rsid w:val="00112FCC"/>
    <w:rsid w:val="0011323B"/>
    <w:rsid w:val="001133CC"/>
    <w:rsid w:val="001133F4"/>
    <w:rsid w:val="001136A2"/>
    <w:rsid w:val="001138B1"/>
    <w:rsid w:val="001138FB"/>
    <w:rsid w:val="00113C83"/>
    <w:rsid w:val="00113CAA"/>
    <w:rsid w:val="00113CB7"/>
    <w:rsid w:val="00113EC1"/>
    <w:rsid w:val="00113F3D"/>
    <w:rsid w:val="00114376"/>
    <w:rsid w:val="00114502"/>
    <w:rsid w:val="001148FB"/>
    <w:rsid w:val="00114BE1"/>
    <w:rsid w:val="00114BEE"/>
    <w:rsid w:val="00114FE3"/>
    <w:rsid w:val="00115196"/>
    <w:rsid w:val="00115291"/>
    <w:rsid w:val="00115589"/>
    <w:rsid w:val="00115679"/>
    <w:rsid w:val="0011578C"/>
    <w:rsid w:val="00115DB9"/>
    <w:rsid w:val="001165C9"/>
    <w:rsid w:val="00116932"/>
    <w:rsid w:val="00116BEA"/>
    <w:rsid w:val="00116D5C"/>
    <w:rsid w:val="00116F52"/>
    <w:rsid w:val="0011729F"/>
    <w:rsid w:val="0011769E"/>
    <w:rsid w:val="00117AD0"/>
    <w:rsid w:val="00117E60"/>
    <w:rsid w:val="0012007E"/>
    <w:rsid w:val="0012011E"/>
    <w:rsid w:val="0012036F"/>
    <w:rsid w:val="00120736"/>
    <w:rsid w:val="001207D6"/>
    <w:rsid w:val="00120D57"/>
    <w:rsid w:val="00120E74"/>
    <w:rsid w:val="001218BE"/>
    <w:rsid w:val="00121F64"/>
    <w:rsid w:val="0012245D"/>
    <w:rsid w:val="0012276F"/>
    <w:rsid w:val="001228A9"/>
    <w:rsid w:val="0012298D"/>
    <w:rsid w:val="00122C23"/>
    <w:rsid w:val="00122C6F"/>
    <w:rsid w:val="00122E5A"/>
    <w:rsid w:val="00122FBC"/>
    <w:rsid w:val="0012308E"/>
    <w:rsid w:val="00123173"/>
    <w:rsid w:val="00123383"/>
    <w:rsid w:val="001238F8"/>
    <w:rsid w:val="00123BAD"/>
    <w:rsid w:val="00123EAD"/>
    <w:rsid w:val="00123F87"/>
    <w:rsid w:val="00124394"/>
    <w:rsid w:val="0012439F"/>
    <w:rsid w:val="0012467A"/>
    <w:rsid w:val="001247BE"/>
    <w:rsid w:val="00124BBE"/>
    <w:rsid w:val="00125072"/>
    <w:rsid w:val="001251A9"/>
    <w:rsid w:val="001252D8"/>
    <w:rsid w:val="00125BCF"/>
    <w:rsid w:val="0012655B"/>
    <w:rsid w:val="001268F7"/>
    <w:rsid w:val="00126943"/>
    <w:rsid w:val="00126D53"/>
    <w:rsid w:val="00126F1A"/>
    <w:rsid w:val="00126FAA"/>
    <w:rsid w:val="00126FD9"/>
    <w:rsid w:val="001273AF"/>
    <w:rsid w:val="0012758A"/>
    <w:rsid w:val="00127754"/>
    <w:rsid w:val="0012778E"/>
    <w:rsid w:val="00127C33"/>
    <w:rsid w:val="00130007"/>
    <w:rsid w:val="00130346"/>
    <w:rsid w:val="0013035F"/>
    <w:rsid w:val="00130598"/>
    <w:rsid w:val="001307B7"/>
    <w:rsid w:val="00130A7E"/>
    <w:rsid w:val="00130E9B"/>
    <w:rsid w:val="00130EAF"/>
    <w:rsid w:val="00130FA7"/>
    <w:rsid w:val="0013115A"/>
    <w:rsid w:val="00131324"/>
    <w:rsid w:val="0013134F"/>
    <w:rsid w:val="0013154D"/>
    <w:rsid w:val="00131AAF"/>
    <w:rsid w:val="00132019"/>
    <w:rsid w:val="00132084"/>
    <w:rsid w:val="00132096"/>
    <w:rsid w:val="001324B4"/>
    <w:rsid w:val="001326E7"/>
    <w:rsid w:val="001327C9"/>
    <w:rsid w:val="00132BB2"/>
    <w:rsid w:val="00132C7B"/>
    <w:rsid w:val="00132D92"/>
    <w:rsid w:val="00132DF7"/>
    <w:rsid w:val="00132F14"/>
    <w:rsid w:val="001330D9"/>
    <w:rsid w:val="001331F8"/>
    <w:rsid w:val="00133419"/>
    <w:rsid w:val="0013389B"/>
    <w:rsid w:val="001341B1"/>
    <w:rsid w:val="001341D8"/>
    <w:rsid w:val="00134422"/>
    <w:rsid w:val="0013442C"/>
    <w:rsid w:val="001344A0"/>
    <w:rsid w:val="00134623"/>
    <w:rsid w:val="0013465A"/>
    <w:rsid w:val="00134ACB"/>
    <w:rsid w:val="00135102"/>
    <w:rsid w:val="001353DF"/>
    <w:rsid w:val="001353E0"/>
    <w:rsid w:val="00135855"/>
    <w:rsid w:val="001359B8"/>
    <w:rsid w:val="00135A8B"/>
    <w:rsid w:val="00135C49"/>
    <w:rsid w:val="00136496"/>
    <w:rsid w:val="001367BC"/>
    <w:rsid w:val="001367BE"/>
    <w:rsid w:val="00136C99"/>
    <w:rsid w:val="00136FA4"/>
    <w:rsid w:val="0013733D"/>
    <w:rsid w:val="001379FE"/>
    <w:rsid w:val="00137AD8"/>
    <w:rsid w:val="00137C52"/>
    <w:rsid w:val="001401C6"/>
    <w:rsid w:val="001404D2"/>
    <w:rsid w:val="00140C97"/>
    <w:rsid w:val="00141467"/>
    <w:rsid w:val="001415E9"/>
    <w:rsid w:val="00141920"/>
    <w:rsid w:val="00141B7E"/>
    <w:rsid w:val="00141F6E"/>
    <w:rsid w:val="001428E9"/>
    <w:rsid w:val="00142988"/>
    <w:rsid w:val="00142E39"/>
    <w:rsid w:val="00143461"/>
    <w:rsid w:val="0014352A"/>
    <w:rsid w:val="00143666"/>
    <w:rsid w:val="00143BD7"/>
    <w:rsid w:val="00143D34"/>
    <w:rsid w:val="00143E2C"/>
    <w:rsid w:val="00143ED6"/>
    <w:rsid w:val="001440F1"/>
    <w:rsid w:val="001441FC"/>
    <w:rsid w:val="0014479B"/>
    <w:rsid w:val="001449C1"/>
    <w:rsid w:val="00144D3A"/>
    <w:rsid w:val="00144F11"/>
    <w:rsid w:val="0014526B"/>
    <w:rsid w:val="0014546C"/>
    <w:rsid w:val="001456B9"/>
    <w:rsid w:val="001458CE"/>
    <w:rsid w:val="0014605B"/>
    <w:rsid w:val="00146276"/>
    <w:rsid w:val="00146446"/>
    <w:rsid w:val="00146520"/>
    <w:rsid w:val="00146969"/>
    <w:rsid w:val="001469F1"/>
    <w:rsid w:val="00146E75"/>
    <w:rsid w:val="00146EF0"/>
    <w:rsid w:val="00146F02"/>
    <w:rsid w:val="00146F42"/>
    <w:rsid w:val="001471E0"/>
    <w:rsid w:val="00147298"/>
    <w:rsid w:val="00147954"/>
    <w:rsid w:val="00147EB0"/>
    <w:rsid w:val="00147F00"/>
    <w:rsid w:val="001501AC"/>
    <w:rsid w:val="00150297"/>
    <w:rsid w:val="00150411"/>
    <w:rsid w:val="001505CC"/>
    <w:rsid w:val="001506BF"/>
    <w:rsid w:val="00150751"/>
    <w:rsid w:val="0015077E"/>
    <w:rsid w:val="00150E28"/>
    <w:rsid w:val="00151964"/>
    <w:rsid w:val="00151B6E"/>
    <w:rsid w:val="00151DE7"/>
    <w:rsid w:val="00152250"/>
    <w:rsid w:val="001524BC"/>
    <w:rsid w:val="00152538"/>
    <w:rsid w:val="00152652"/>
    <w:rsid w:val="00152923"/>
    <w:rsid w:val="00152A8B"/>
    <w:rsid w:val="00152BF4"/>
    <w:rsid w:val="0015363B"/>
    <w:rsid w:val="001538C0"/>
    <w:rsid w:val="00153D6B"/>
    <w:rsid w:val="0015414E"/>
    <w:rsid w:val="001543DD"/>
    <w:rsid w:val="00154650"/>
    <w:rsid w:val="00154795"/>
    <w:rsid w:val="00154A46"/>
    <w:rsid w:val="00154ECC"/>
    <w:rsid w:val="0015539A"/>
    <w:rsid w:val="001559C4"/>
    <w:rsid w:val="001561E3"/>
    <w:rsid w:val="00156270"/>
    <w:rsid w:val="0015642E"/>
    <w:rsid w:val="00156695"/>
    <w:rsid w:val="00156899"/>
    <w:rsid w:val="0015698A"/>
    <w:rsid w:val="0015713C"/>
    <w:rsid w:val="00157362"/>
    <w:rsid w:val="0015754F"/>
    <w:rsid w:val="00157598"/>
    <w:rsid w:val="0015781D"/>
    <w:rsid w:val="00157AFB"/>
    <w:rsid w:val="00157D17"/>
    <w:rsid w:val="00160001"/>
    <w:rsid w:val="001608D5"/>
    <w:rsid w:val="00160BC6"/>
    <w:rsid w:val="00160DDA"/>
    <w:rsid w:val="00160F17"/>
    <w:rsid w:val="00160F1A"/>
    <w:rsid w:val="001612DD"/>
    <w:rsid w:val="00161456"/>
    <w:rsid w:val="001617F6"/>
    <w:rsid w:val="00161808"/>
    <w:rsid w:val="00162219"/>
    <w:rsid w:val="00162568"/>
    <w:rsid w:val="00162579"/>
    <w:rsid w:val="001629CA"/>
    <w:rsid w:val="001629E1"/>
    <w:rsid w:val="00162B84"/>
    <w:rsid w:val="00162DC9"/>
    <w:rsid w:val="00162DEB"/>
    <w:rsid w:val="00162E8B"/>
    <w:rsid w:val="00162F66"/>
    <w:rsid w:val="001630DD"/>
    <w:rsid w:val="0016370A"/>
    <w:rsid w:val="00163955"/>
    <w:rsid w:val="00163972"/>
    <w:rsid w:val="00163B54"/>
    <w:rsid w:val="00163E60"/>
    <w:rsid w:val="00163EB4"/>
    <w:rsid w:val="00164158"/>
    <w:rsid w:val="0016417E"/>
    <w:rsid w:val="001642D4"/>
    <w:rsid w:val="001645EE"/>
    <w:rsid w:val="0016492E"/>
    <w:rsid w:val="00164982"/>
    <w:rsid w:val="0016498E"/>
    <w:rsid w:val="00164C5B"/>
    <w:rsid w:val="00164D7F"/>
    <w:rsid w:val="00164ED6"/>
    <w:rsid w:val="001654CF"/>
    <w:rsid w:val="0016570F"/>
    <w:rsid w:val="00165D63"/>
    <w:rsid w:val="00165DE0"/>
    <w:rsid w:val="001660A4"/>
    <w:rsid w:val="0016624E"/>
    <w:rsid w:val="00166321"/>
    <w:rsid w:val="0016634B"/>
    <w:rsid w:val="00166351"/>
    <w:rsid w:val="001663C8"/>
    <w:rsid w:val="00166AC3"/>
    <w:rsid w:val="00166C00"/>
    <w:rsid w:val="00166D22"/>
    <w:rsid w:val="00166FB7"/>
    <w:rsid w:val="001678C4"/>
    <w:rsid w:val="00167C70"/>
    <w:rsid w:val="00167C80"/>
    <w:rsid w:val="00167D3B"/>
    <w:rsid w:val="00170207"/>
    <w:rsid w:val="001703B4"/>
    <w:rsid w:val="001705EB"/>
    <w:rsid w:val="0017089F"/>
    <w:rsid w:val="00170C5E"/>
    <w:rsid w:val="00170D01"/>
    <w:rsid w:val="00170EFC"/>
    <w:rsid w:val="00170F3C"/>
    <w:rsid w:val="00170F59"/>
    <w:rsid w:val="00170FBF"/>
    <w:rsid w:val="001711C9"/>
    <w:rsid w:val="00171408"/>
    <w:rsid w:val="0017152E"/>
    <w:rsid w:val="00171826"/>
    <w:rsid w:val="001718F1"/>
    <w:rsid w:val="00171D62"/>
    <w:rsid w:val="001722B2"/>
    <w:rsid w:val="0017237F"/>
    <w:rsid w:val="001725C0"/>
    <w:rsid w:val="0017261C"/>
    <w:rsid w:val="00172832"/>
    <w:rsid w:val="00172CC2"/>
    <w:rsid w:val="00172DAA"/>
    <w:rsid w:val="00173193"/>
    <w:rsid w:val="00173209"/>
    <w:rsid w:val="001737F3"/>
    <w:rsid w:val="00173861"/>
    <w:rsid w:val="00173C54"/>
    <w:rsid w:val="00173F54"/>
    <w:rsid w:val="00174858"/>
    <w:rsid w:val="0017487E"/>
    <w:rsid w:val="00174B8C"/>
    <w:rsid w:val="00174EB9"/>
    <w:rsid w:val="00175859"/>
    <w:rsid w:val="0017587E"/>
    <w:rsid w:val="001758BC"/>
    <w:rsid w:val="00175E05"/>
    <w:rsid w:val="00175F61"/>
    <w:rsid w:val="00176269"/>
    <w:rsid w:val="00176318"/>
    <w:rsid w:val="0017653C"/>
    <w:rsid w:val="001765D1"/>
    <w:rsid w:val="00176BB9"/>
    <w:rsid w:val="00176CF7"/>
    <w:rsid w:val="00176E6D"/>
    <w:rsid w:val="0017727D"/>
    <w:rsid w:val="00177379"/>
    <w:rsid w:val="00177663"/>
    <w:rsid w:val="001779C0"/>
    <w:rsid w:val="00177D46"/>
    <w:rsid w:val="001802D3"/>
    <w:rsid w:val="0018069E"/>
    <w:rsid w:val="001806C7"/>
    <w:rsid w:val="00180B87"/>
    <w:rsid w:val="00180C1B"/>
    <w:rsid w:val="00180EA2"/>
    <w:rsid w:val="00181924"/>
    <w:rsid w:val="0018196C"/>
    <w:rsid w:val="00181B13"/>
    <w:rsid w:val="00182391"/>
    <w:rsid w:val="00182492"/>
    <w:rsid w:val="00182554"/>
    <w:rsid w:val="00182FDC"/>
    <w:rsid w:val="0018331D"/>
    <w:rsid w:val="00183395"/>
    <w:rsid w:val="00183571"/>
    <w:rsid w:val="00183EC2"/>
    <w:rsid w:val="00184E0F"/>
    <w:rsid w:val="0018513C"/>
    <w:rsid w:val="001852C4"/>
    <w:rsid w:val="00185300"/>
    <w:rsid w:val="0018544E"/>
    <w:rsid w:val="001857C6"/>
    <w:rsid w:val="001859BF"/>
    <w:rsid w:val="001859FA"/>
    <w:rsid w:val="00185AC3"/>
    <w:rsid w:val="001860BB"/>
    <w:rsid w:val="00186677"/>
    <w:rsid w:val="0018684A"/>
    <w:rsid w:val="0018692D"/>
    <w:rsid w:val="00186B58"/>
    <w:rsid w:val="00186FC7"/>
    <w:rsid w:val="001870FE"/>
    <w:rsid w:val="001873DA"/>
    <w:rsid w:val="001873FB"/>
    <w:rsid w:val="00190625"/>
    <w:rsid w:val="0019076E"/>
    <w:rsid w:val="00190928"/>
    <w:rsid w:val="00190B4C"/>
    <w:rsid w:val="00190B4E"/>
    <w:rsid w:val="00190B98"/>
    <w:rsid w:val="001912BC"/>
    <w:rsid w:val="001917A1"/>
    <w:rsid w:val="00191847"/>
    <w:rsid w:val="00191F13"/>
    <w:rsid w:val="00191F82"/>
    <w:rsid w:val="00191F8B"/>
    <w:rsid w:val="00191FE2"/>
    <w:rsid w:val="00191FFD"/>
    <w:rsid w:val="001920A4"/>
    <w:rsid w:val="00192565"/>
    <w:rsid w:val="00192866"/>
    <w:rsid w:val="00192A7E"/>
    <w:rsid w:val="00192F6C"/>
    <w:rsid w:val="0019300D"/>
    <w:rsid w:val="00193502"/>
    <w:rsid w:val="001935F1"/>
    <w:rsid w:val="0019371D"/>
    <w:rsid w:val="00193971"/>
    <w:rsid w:val="00193977"/>
    <w:rsid w:val="00193BE6"/>
    <w:rsid w:val="00193CB1"/>
    <w:rsid w:val="00193DFD"/>
    <w:rsid w:val="00194347"/>
    <w:rsid w:val="00194849"/>
    <w:rsid w:val="00194A72"/>
    <w:rsid w:val="00194E4C"/>
    <w:rsid w:val="00195103"/>
    <w:rsid w:val="00195435"/>
    <w:rsid w:val="00195500"/>
    <w:rsid w:val="00195790"/>
    <w:rsid w:val="00195B16"/>
    <w:rsid w:val="001962A0"/>
    <w:rsid w:val="0019633E"/>
    <w:rsid w:val="001964A4"/>
    <w:rsid w:val="001966FE"/>
    <w:rsid w:val="00196A63"/>
    <w:rsid w:val="00196CD2"/>
    <w:rsid w:val="0019721E"/>
    <w:rsid w:val="001978F0"/>
    <w:rsid w:val="0019793B"/>
    <w:rsid w:val="00197A61"/>
    <w:rsid w:val="00197AC6"/>
    <w:rsid w:val="00197B3E"/>
    <w:rsid w:val="00197BB2"/>
    <w:rsid w:val="001A00A8"/>
    <w:rsid w:val="001A023C"/>
    <w:rsid w:val="001A02CB"/>
    <w:rsid w:val="001A0317"/>
    <w:rsid w:val="001A08FC"/>
    <w:rsid w:val="001A0A06"/>
    <w:rsid w:val="001A0D02"/>
    <w:rsid w:val="001A0DB1"/>
    <w:rsid w:val="001A0FEE"/>
    <w:rsid w:val="001A1110"/>
    <w:rsid w:val="001A1673"/>
    <w:rsid w:val="001A17D5"/>
    <w:rsid w:val="001A18D7"/>
    <w:rsid w:val="001A1A96"/>
    <w:rsid w:val="001A1B9B"/>
    <w:rsid w:val="001A1C28"/>
    <w:rsid w:val="001A2266"/>
    <w:rsid w:val="001A24C4"/>
    <w:rsid w:val="001A25A4"/>
    <w:rsid w:val="001A2D6F"/>
    <w:rsid w:val="001A3296"/>
    <w:rsid w:val="001A3618"/>
    <w:rsid w:val="001A3803"/>
    <w:rsid w:val="001A3C2D"/>
    <w:rsid w:val="001A4123"/>
    <w:rsid w:val="001A42B0"/>
    <w:rsid w:val="001A434E"/>
    <w:rsid w:val="001A436D"/>
    <w:rsid w:val="001A4969"/>
    <w:rsid w:val="001A4A0C"/>
    <w:rsid w:val="001A4B75"/>
    <w:rsid w:val="001A4D91"/>
    <w:rsid w:val="001A544D"/>
    <w:rsid w:val="001A55BF"/>
    <w:rsid w:val="001A570A"/>
    <w:rsid w:val="001A582E"/>
    <w:rsid w:val="001A5AAA"/>
    <w:rsid w:val="001A5B98"/>
    <w:rsid w:val="001A606F"/>
    <w:rsid w:val="001A6651"/>
    <w:rsid w:val="001A69D5"/>
    <w:rsid w:val="001A69F8"/>
    <w:rsid w:val="001A6A77"/>
    <w:rsid w:val="001A6E4D"/>
    <w:rsid w:val="001A6FED"/>
    <w:rsid w:val="001A78E9"/>
    <w:rsid w:val="001A7952"/>
    <w:rsid w:val="001A7FD4"/>
    <w:rsid w:val="001B01EC"/>
    <w:rsid w:val="001B0894"/>
    <w:rsid w:val="001B095E"/>
    <w:rsid w:val="001B10D2"/>
    <w:rsid w:val="001B10DF"/>
    <w:rsid w:val="001B12C7"/>
    <w:rsid w:val="001B12D2"/>
    <w:rsid w:val="001B1379"/>
    <w:rsid w:val="001B1441"/>
    <w:rsid w:val="001B1A2F"/>
    <w:rsid w:val="001B1B2A"/>
    <w:rsid w:val="001B1B5D"/>
    <w:rsid w:val="001B1B8C"/>
    <w:rsid w:val="001B1BCC"/>
    <w:rsid w:val="001B2557"/>
    <w:rsid w:val="001B2625"/>
    <w:rsid w:val="001B2755"/>
    <w:rsid w:val="001B28E0"/>
    <w:rsid w:val="001B39EF"/>
    <w:rsid w:val="001B412B"/>
    <w:rsid w:val="001B4162"/>
    <w:rsid w:val="001B456D"/>
    <w:rsid w:val="001B4672"/>
    <w:rsid w:val="001B46EB"/>
    <w:rsid w:val="001B48E4"/>
    <w:rsid w:val="001B4C77"/>
    <w:rsid w:val="001B54DD"/>
    <w:rsid w:val="001B5665"/>
    <w:rsid w:val="001B571E"/>
    <w:rsid w:val="001B5AED"/>
    <w:rsid w:val="001B5B8B"/>
    <w:rsid w:val="001B5C67"/>
    <w:rsid w:val="001B5E20"/>
    <w:rsid w:val="001B61A0"/>
    <w:rsid w:val="001B635C"/>
    <w:rsid w:val="001B6826"/>
    <w:rsid w:val="001B6A61"/>
    <w:rsid w:val="001B6B7A"/>
    <w:rsid w:val="001B6D45"/>
    <w:rsid w:val="001B71ED"/>
    <w:rsid w:val="001B7405"/>
    <w:rsid w:val="001B75BE"/>
    <w:rsid w:val="001B77A9"/>
    <w:rsid w:val="001B7864"/>
    <w:rsid w:val="001B78B2"/>
    <w:rsid w:val="001B7975"/>
    <w:rsid w:val="001B7A5E"/>
    <w:rsid w:val="001B7AAB"/>
    <w:rsid w:val="001B7B16"/>
    <w:rsid w:val="001B7B2D"/>
    <w:rsid w:val="001B7DBC"/>
    <w:rsid w:val="001B7E04"/>
    <w:rsid w:val="001C00B7"/>
    <w:rsid w:val="001C01AB"/>
    <w:rsid w:val="001C032B"/>
    <w:rsid w:val="001C0490"/>
    <w:rsid w:val="001C0782"/>
    <w:rsid w:val="001C0902"/>
    <w:rsid w:val="001C11C7"/>
    <w:rsid w:val="001C1236"/>
    <w:rsid w:val="001C13D7"/>
    <w:rsid w:val="001C1498"/>
    <w:rsid w:val="001C14D1"/>
    <w:rsid w:val="001C1652"/>
    <w:rsid w:val="001C1BE7"/>
    <w:rsid w:val="001C1CBC"/>
    <w:rsid w:val="001C1D66"/>
    <w:rsid w:val="001C1E88"/>
    <w:rsid w:val="001C1FDC"/>
    <w:rsid w:val="001C20B3"/>
    <w:rsid w:val="001C2304"/>
    <w:rsid w:val="001C235C"/>
    <w:rsid w:val="001C2492"/>
    <w:rsid w:val="001C272A"/>
    <w:rsid w:val="001C2DB8"/>
    <w:rsid w:val="001C32FA"/>
    <w:rsid w:val="001C3555"/>
    <w:rsid w:val="001C3A5F"/>
    <w:rsid w:val="001C3B9E"/>
    <w:rsid w:val="001C441B"/>
    <w:rsid w:val="001C481D"/>
    <w:rsid w:val="001C484E"/>
    <w:rsid w:val="001C4D06"/>
    <w:rsid w:val="001C51EC"/>
    <w:rsid w:val="001C55C1"/>
    <w:rsid w:val="001C5850"/>
    <w:rsid w:val="001C599E"/>
    <w:rsid w:val="001C5B09"/>
    <w:rsid w:val="001C5D2C"/>
    <w:rsid w:val="001C5E8B"/>
    <w:rsid w:val="001C68AB"/>
    <w:rsid w:val="001C6984"/>
    <w:rsid w:val="001C6CC9"/>
    <w:rsid w:val="001C6D92"/>
    <w:rsid w:val="001C74B3"/>
    <w:rsid w:val="001C7AD5"/>
    <w:rsid w:val="001C7D65"/>
    <w:rsid w:val="001C7E7B"/>
    <w:rsid w:val="001D0012"/>
    <w:rsid w:val="001D0722"/>
    <w:rsid w:val="001D0D75"/>
    <w:rsid w:val="001D0DBF"/>
    <w:rsid w:val="001D0E2D"/>
    <w:rsid w:val="001D107F"/>
    <w:rsid w:val="001D1360"/>
    <w:rsid w:val="001D153F"/>
    <w:rsid w:val="001D1764"/>
    <w:rsid w:val="001D18AA"/>
    <w:rsid w:val="001D1939"/>
    <w:rsid w:val="001D1C1B"/>
    <w:rsid w:val="001D1E17"/>
    <w:rsid w:val="001D225C"/>
    <w:rsid w:val="001D2676"/>
    <w:rsid w:val="001D2AAB"/>
    <w:rsid w:val="001D2DED"/>
    <w:rsid w:val="001D2E59"/>
    <w:rsid w:val="001D2FE0"/>
    <w:rsid w:val="001D307B"/>
    <w:rsid w:val="001D3715"/>
    <w:rsid w:val="001D38F6"/>
    <w:rsid w:val="001D3B47"/>
    <w:rsid w:val="001D3EB5"/>
    <w:rsid w:val="001D3F28"/>
    <w:rsid w:val="001D46AB"/>
    <w:rsid w:val="001D4A94"/>
    <w:rsid w:val="001D4F71"/>
    <w:rsid w:val="001D51D0"/>
    <w:rsid w:val="001D56D9"/>
    <w:rsid w:val="001D5C59"/>
    <w:rsid w:val="001D5DC6"/>
    <w:rsid w:val="001D63D4"/>
    <w:rsid w:val="001D648E"/>
    <w:rsid w:val="001D6869"/>
    <w:rsid w:val="001D68DB"/>
    <w:rsid w:val="001D6929"/>
    <w:rsid w:val="001D6E90"/>
    <w:rsid w:val="001D7080"/>
    <w:rsid w:val="001D73A3"/>
    <w:rsid w:val="001D746C"/>
    <w:rsid w:val="001D7629"/>
    <w:rsid w:val="001D7B89"/>
    <w:rsid w:val="001D7EA7"/>
    <w:rsid w:val="001D7F15"/>
    <w:rsid w:val="001D7F9D"/>
    <w:rsid w:val="001E00A6"/>
    <w:rsid w:val="001E0290"/>
    <w:rsid w:val="001E04C4"/>
    <w:rsid w:val="001E0504"/>
    <w:rsid w:val="001E0792"/>
    <w:rsid w:val="001E0F30"/>
    <w:rsid w:val="001E1545"/>
    <w:rsid w:val="001E1700"/>
    <w:rsid w:val="001E187E"/>
    <w:rsid w:val="001E18AC"/>
    <w:rsid w:val="001E1A63"/>
    <w:rsid w:val="001E1AD5"/>
    <w:rsid w:val="001E1CDB"/>
    <w:rsid w:val="001E1F39"/>
    <w:rsid w:val="001E25CC"/>
    <w:rsid w:val="001E291B"/>
    <w:rsid w:val="001E3199"/>
    <w:rsid w:val="001E3747"/>
    <w:rsid w:val="001E3FB2"/>
    <w:rsid w:val="001E498E"/>
    <w:rsid w:val="001E4E40"/>
    <w:rsid w:val="001E4E86"/>
    <w:rsid w:val="001E51D4"/>
    <w:rsid w:val="001E51FB"/>
    <w:rsid w:val="001E5216"/>
    <w:rsid w:val="001E521D"/>
    <w:rsid w:val="001E5556"/>
    <w:rsid w:val="001E5B86"/>
    <w:rsid w:val="001E5C80"/>
    <w:rsid w:val="001E6116"/>
    <w:rsid w:val="001E6123"/>
    <w:rsid w:val="001E6334"/>
    <w:rsid w:val="001E6473"/>
    <w:rsid w:val="001E64D8"/>
    <w:rsid w:val="001E66F7"/>
    <w:rsid w:val="001E6B12"/>
    <w:rsid w:val="001E6B5F"/>
    <w:rsid w:val="001E6C66"/>
    <w:rsid w:val="001E6DF2"/>
    <w:rsid w:val="001E7643"/>
    <w:rsid w:val="001E7ECB"/>
    <w:rsid w:val="001E7F2E"/>
    <w:rsid w:val="001F07B6"/>
    <w:rsid w:val="001F0CF5"/>
    <w:rsid w:val="001F0D74"/>
    <w:rsid w:val="001F1033"/>
    <w:rsid w:val="001F1269"/>
    <w:rsid w:val="001F12CB"/>
    <w:rsid w:val="001F1385"/>
    <w:rsid w:val="001F13BB"/>
    <w:rsid w:val="001F186E"/>
    <w:rsid w:val="001F1AC1"/>
    <w:rsid w:val="001F1E08"/>
    <w:rsid w:val="001F2739"/>
    <w:rsid w:val="001F2A62"/>
    <w:rsid w:val="001F2CDF"/>
    <w:rsid w:val="001F31F0"/>
    <w:rsid w:val="001F33C1"/>
    <w:rsid w:val="001F36A0"/>
    <w:rsid w:val="001F400F"/>
    <w:rsid w:val="001F4303"/>
    <w:rsid w:val="001F44AF"/>
    <w:rsid w:val="001F4544"/>
    <w:rsid w:val="001F46CD"/>
    <w:rsid w:val="001F47CD"/>
    <w:rsid w:val="001F4D6F"/>
    <w:rsid w:val="001F4D88"/>
    <w:rsid w:val="001F52D7"/>
    <w:rsid w:val="001F52F0"/>
    <w:rsid w:val="001F54B4"/>
    <w:rsid w:val="001F54C7"/>
    <w:rsid w:val="001F572B"/>
    <w:rsid w:val="001F5F4A"/>
    <w:rsid w:val="001F6282"/>
    <w:rsid w:val="001F6848"/>
    <w:rsid w:val="001F6B72"/>
    <w:rsid w:val="001F6DC8"/>
    <w:rsid w:val="001F7074"/>
    <w:rsid w:val="001F739D"/>
    <w:rsid w:val="001F7795"/>
    <w:rsid w:val="001F7CCE"/>
    <w:rsid w:val="001F7D4D"/>
    <w:rsid w:val="0020014B"/>
    <w:rsid w:val="002002DE"/>
    <w:rsid w:val="002003BD"/>
    <w:rsid w:val="002003F5"/>
    <w:rsid w:val="00200743"/>
    <w:rsid w:val="002008AB"/>
    <w:rsid w:val="002008D1"/>
    <w:rsid w:val="002008F9"/>
    <w:rsid w:val="00200D82"/>
    <w:rsid w:val="00200EFB"/>
    <w:rsid w:val="002020C2"/>
    <w:rsid w:val="00202280"/>
    <w:rsid w:val="00202631"/>
    <w:rsid w:val="00202873"/>
    <w:rsid w:val="002028AA"/>
    <w:rsid w:val="00202A97"/>
    <w:rsid w:val="00202D1F"/>
    <w:rsid w:val="00202DD7"/>
    <w:rsid w:val="00202E55"/>
    <w:rsid w:val="00202E72"/>
    <w:rsid w:val="00203359"/>
    <w:rsid w:val="0020335A"/>
    <w:rsid w:val="002036B8"/>
    <w:rsid w:val="002036F1"/>
    <w:rsid w:val="002047CB"/>
    <w:rsid w:val="00204A43"/>
    <w:rsid w:val="00204C28"/>
    <w:rsid w:val="00204C48"/>
    <w:rsid w:val="00205175"/>
    <w:rsid w:val="002060F7"/>
    <w:rsid w:val="002062EB"/>
    <w:rsid w:val="002062FA"/>
    <w:rsid w:val="00206606"/>
    <w:rsid w:val="0020673F"/>
    <w:rsid w:val="0020733F"/>
    <w:rsid w:val="002073C0"/>
    <w:rsid w:val="0020785A"/>
    <w:rsid w:val="0020799C"/>
    <w:rsid w:val="00207C5E"/>
    <w:rsid w:val="00207CC4"/>
    <w:rsid w:val="00207D21"/>
    <w:rsid w:val="00207E66"/>
    <w:rsid w:val="00207E9D"/>
    <w:rsid w:val="00210085"/>
    <w:rsid w:val="00210630"/>
    <w:rsid w:val="002106F9"/>
    <w:rsid w:val="00210B0C"/>
    <w:rsid w:val="00210C87"/>
    <w:rsid w:val="0021175A"/>
    <w:rsid w:val="00212503"/>
    <w:rsid w:val="0021276A"/>
    <w:rsid w:val="00212AC0"/>
    <w:rsid w:val="00212F01"/>
    <w:rsid w:val="00212FC8"/>
    <w:rsid w:val="00213419"/>
    <w:rsid w:val="00213977"/>
    <w:rsid w:val="00213B0D"/>
    <w:rsid w:val="00213E1F"/>
    <w:rsid w:val="0021407B"/>
    <w:rsid w:val="0021462B"/>
    <w:rsid w:val="002149AE"/>
    <w:rsid w:val="00214C9F"/>
    <w:rsid w:val="00215B0D"/>
    <w:rsid w:val="00215CF8"/>
    <w:rsid w:val="00215F8E"/>
    <w:rsid w:val="00216032"/>
    <w:rsid w:val="00216B85"/>
    <w:rsid w:val="00216DB2"/>
    <w:rsid w:val="00217078"/>
    <w:rsid w:val="002173D8"/>
    <w:rsid w:val="00217568"/>
    <w:rsid w:val="002177EC"/>
    <w:rsid w:val="002177F0"/>
    <w:rsid w:val="002204B4"/>
    <w:rsid w:val="002204E1"/>
    <w:rsid w:val="00220E71"/>
    <w:rsid w:val="00220F8E"/>
    <w:rsid w:val="0022100B"/>
    <w:rsid w:val="00221271"/>
    <w:rsid w:val="00221746"/>
    <w:rsid w:val="002217EE"/>
    <w:rsid w:val="00221C7E"/>
    <w:rsid w:val="002220AF"/>
    <w:rsid w:val="0022210C"/>
    <w:rsid w:val="002222A7"/>
    <w:rsid w:val="002222EB"/>
    <w:rsid w:val="00222408"/>
    <w:rsid w:val="002228B6"/>
    <w:rsid w:val="00222935"/>
    <w:rsid w:val="00222ED7"/>
    <w:rsid w:val="002230F8"/>
    <w:rsid w:val="0022317C"/>
    <w:rsid w:val="00223259"/>
    <w:rsid w:val="002233D9"/>
    <w:rsid w:val="00223D88"/>
    <w:rsid w:val="0022405F"/>
    <w:rsid w:val="00224067"/>
    <w:rsid w:val="00224186"/>
    <w:rsid w:val="002241E9"/>
    <w:rsid w:val="002245E5"/>
    <w:rsid w:val="00224676"/>
    <w:rsid w:val="0022468A"/>
    <w:rsid w:val="00224990"/>
    <w:rsid w:val="00224A07"/>
    <w:rsid w:val="00224A24"/>
    <w:rsid w:val="00224B52"/>
    <w:rsid w:val="00224B8C"/>
    <w:rsid w:val="0022502E"/>
    <w:rsid w:val="00225899"/>
    <w:rsid w:val="002258C3"/>
    <w:rsid w:val="00225CC0"/>
    <w:rsid w:val="00226289"/>
    <w:rsid w:val="002269F8"/>
    <w:rsid w:val="00226A17"/>
    <w:rsid w:val="00226CBA"/>
    <w:rsid w:val="0022765D"/>
    <w:rsid w:val="002277CB"/>
    <w:rsid w:val="00227A7D"/>
    <w:rsid w:val="00227B12"/>
    <w:rsid w:val="00227D78"/>
    <w:rsid w:val="00227E3E"/>
    <w:rsid w:val="00227EA3"/>
    <w:rsid w:val="00227EC3"/>
    <w:rsid w:val="00227EEE"/>
    <w:rsid w:val="0023069F"/>
    <w:rsid w:val="002306C0"/>
    <w:rsid w:val="002306F1"/>
    <w:rsid w:val="00230985"/>
    <w:rsid w:val="00231207"/>
    <w:rsid w:val="002313D9"/>
    <w:rsid w:val="00231CD6"/>
    <w:rsid w:val="00231E54"/>
    <w:rsid w:val="002322BC"/>
    <w:rsid w:val="00232460"/>
    <w:rsid w:val="00232620"/>
    <w:rsid w:val="0023298E"/>
    <w:rsid w:val="00232C56"/>
    <w:rsid w:val="0023346D"/>
    <w:rsid w:val="00233F7B"/>
    <w:rsid w:val="002340EE"/>
    <w:rsid w:val="002341FE"/>
    <w:rsid w:val="00234F21"/>
    <w:rsid w:val="0023510D"/>
    <w:rsid w:val="002354F4"/>
    <w:rsid w:val="0023566F"/>
    <w:rsid w:val="00235781"/>
    <w:rsid w:val="002357E8"/>
    <w:rsid w:val="002358D7"/>
    <w:rsid w:val="00235BB6"/>
    <w:rsid w:val="002370C1"/>
    <w:rsid w:val="00237177"/>
    <w:rsid w:val="00237721"/>
    <w:rsid w:val="002379CE"/>
    <w:rsid w:val="00240590"/>
    <w:rsid w:val="002405D9"/>
    <w:rsid w:val="00240AF7"/>
    <w:rsid w:val="00240CF2"/>
    <w:rsid w:val="002412B0"/>
    <w:rsid w:val="0024198E"/>
    <w:rsid w:val="002419A7"/>
    <w:rsid w:val="00241D0B"/>
    <w:rsid w:val="0024201E"/>
    <w:rsid w:val="002423EF"/>
    <w:rsid w:val="0024255A"/>
    <w:rsid w:val="00242594"/>
    <w:rsid w:val="002428EB"/>
    <w:rsid w:val="00242915"/>
    <w:rsid w:val="00242944"/>
    <w:rsid w:val="002429A1"/>
    <w:rsid w:val="00242F40"/>
    <w:rsid w:val="00243033"/>
    <w:rsid w:val="0024336C"/>
    <w:rsid w:val="00243474"/>
    <w:rsid w:val="002436C2"/>
    <w:rsid w:val="0024397B"/>
    <w:rsid w:val="00243DCC"/>
    <w:rsid w:val="00243ECF"/>
    <w:rsid w:val="00243F92"/>
    <w:rsid w:val="00244031"/>
    <w:rsid w:val="00244189"/>
    <w:rsid w:val="00244194"/>
    <w:rsid w:val="00244554"/>
    <w:rsid w:val="002445A0"/>
    <w:rsid w:val="00244B60"/>
    <w:rsid w:val="00244E6B"/>
    <w:rsid w:val="00244FE0"/>
    <w:rsid w:val="0024500F"/>
    <w:rsid w:val="00245381"/>
    <w:rsid w:val="00245677"/>
    <w:rsid w:val="00245C8D"/>
    <w:rsid w:val="00245F00"/>
    <w:rsid w:val="00246069"/>
    <w:rsid w:val="0024662D"/>
    <w:rsid w:val="0024679E"/>
    <w:rsid w:val="00246BB0"/>
    <w:rsid w:val="00246E2E"/>
    <w:rsid w:val="00247578"/>
    <w:rsid w:val="0024799F"/>
    <w:rsid w:val="00247D8D"/>
    <w:rsid w:val="00247E15"/>
    <w:rsid w:val="00250038"/>
    <w:rsid w:val="0025003A"/>
    <w:rsid w:val="002501AF"/>
    <w:rsid w:val="0025025A"/>
    <w:rsid w:val="00250273"/>
    <w:rsid w:val="0025036B"/>
    <w:rsid w:val="002506C3"/>
    <w:rsid w:val="002509FF"/>
    <w:rsid w:val="00250C2D"/>
    <w:rsid w:val="00251009"/>
    <w:rsid w:val="00251747"/>
    <w:rsid w:val="00251952"/>
    <w:rsid w:val="00251CE6"/>
    <w:rsid w:val="00251E74"/>
    <w:rsid w:val="00251EDB"/>
    <w:rsid w:val="00252103"/>
    <w:rsid w:val="002523E6"/>
    <w:rsid w:val="002525A6"/>
    <w:rsid w:val="002529D6"/>
    <w:rsid w:val="00252A3C"/>
    <w:rsid w:val="00252A9D"/>
    <w:rsid w:val="00252D52"/>
    <w:rsid w:val="00252FD5"/>
    <w:rsid w:val="0025320E"/>
    <w:rsid w:val="0025325A"/>
    <w:rsid w:val="00253480"/>
    <w:rsid w:val="00253896"/>
    <w:rsid w:val="00253995"/>
    <w:rsid w:val="00253E24"/>
    <w:rsid w:val="00253E50"/>
    <w:rsid w:val="0025403A"/>
    <w:rsid w:val="0025446C"/>
    <w:rsid w:val="0025460E"/>
    <w:rsid w:val="00254BD0"/>
    <w:rsid w:val="00254C67"/>
    <w:rsid w:val="002551B2"/>
    <w:rsid w:val="00255E5B"/>
    <w:rsid w:val="00255F9C"/>
    <w:rsid w:val="002561B8"/>
    <w:rsid w:val="00256723"/>
    <w:rsid w:val="0025685D"/>
    <w:rsid w:val="00256E1E"/>
    <w:rsid w:val="00256ED7"/>
    <w:rsid w:val="00256F73"/>
    <w:rsid w:val="0025734A"/>
    <w:rsid w:val="00257697"/>
    <w:rsid w:val="002576EC"/>
    <w:rsid w:val="00257A28"/>
    <w:rsid w:val="00257B46"/>
    <w:rsid w:val="00257F0F"/>
    <w:rsid w:val="00260222"/>
    <w:rsid w:val="00260509"/>
    <w:rsid w:val="0026073F"/>
    <w:rsid w:val="002608E5"/>
    <w:rsid w:val="00260A92"/>
    <w:rsid w:val="00260AD4"/>
    <w:rsid w:val="00260FCD"/>
    <w:rsid w:val="00261559"/>
    <w:rsid w:val="002615C1"/>
    <w:rsid w:val="002617B7"/>
    <w:rsid w:val="002618A8"/>
    <w:rsid w:val="00261E2D"/>
    <w:rsid w:val="00261EB7"/>
    <w:rsid w:val="00262161"/>
    <w:rsid w:val="002622B1"/>
    <w:rsid w:val="002624C0"/>
    <w:rsid w:val="0026258D"/>
    <w:rsid w:val="00262644"/>
    <w:rsid w:val="00262A5D"/>
    <w:rsid w:val="00262B09"/>
    <w:rsid w:val="00262C9F"/>
    <w:rsid w:val="00262D04"/>
    <w:rsid w:val="00262D85"/>
    <w:rsid w:val="00262EEE"/>
    <w:rsid w:val="00263331"/>
    <w:rsid w:val="002634DA"/>
    <w:rsid w:val="002637E4"/>
    <w:rsid w:val="002638BE"/>
    <w:rsid w:val="00264128"/>
    <w:rsid w:val="00264129"/>
    <w:rsid w:val="00264384"/>
    <w:rsid w:val="002643BA"/>
    <w:rsid w:val="00264998"/>
    <w:rsid w:val="00264FA9"/>
    <w:rsid w:val="00265054"/>
    <w:rsid w:val="002654F7"/>
    <w:rsid w:val="00265646"/>
    <w:rsid w:val="0026580C"/>
    <w:rsid w:val="00265AE8"/>
    <w:rsid w:val="00265C6A"/>
    <w:rsid w:val="00265FBF"/>
    <w:rsid w:val="0026607A"/>
    <w:rsid w:val="002661AC"/>
    <w:rsid w:val="0026660F"/>
    <w:rsid w:val="002666EE"/>
    <w:rsid w:val="0026671D"/>
    <w:rsid w:val="00266A27"/>
    <w:rsid w:val="00266B5C"/>
    <w:rsid w:val="00266BA1"/>
    <w:rsid w:val="002671B5"/>
    <w:rsid w:val="00267294"/>
    <w:rsid w:val="0026761C"/>
    <w:rsid w:val="002678AA"/>
    <w:rsid w:val="00267D23"/>
    <w:rsid w:val="00267DB4"/>
    <w:rsid w:val="00267F54"/>
    <w:rsid w:val="00270A56"/>
    <w:rsid w:val="0027159C"/>
    <w:rsid w:val="002717A7"/>
    <w:rsid w:val="0027202C"/>
    <w:rsid w:val="00272ACD"/>
    <w:rsid w:val="00272C46"/>
    <w:rsid w:val="00272D87"/>
    <w:rsid w:val="00272FE6"/>
    <w:rsid w:val="0027305B"/>
    <w:rsid w:val="0027317A"/>
    <w:rsid w:val="00273460"/>
    <w:rsid w:val="00273647"/>
    <w:rsid w:val="00273705"/>
    <w:rsid w:val="00273790"/>
    <w:rsid w:val="002737F4"/>
    <w:rsid w:val="00273E17"/>
    <w:rsid w:val="00274324"/>
    <w:rsid w:val="00274CDC"/>
    <w:rsid w:val="002750E3"/>
    <w:rsid w:val="00275202"/>
    <w:rsid w:val="002753B9"/>
    <w:rsid w:val="00275470"/>
    <w:rsid w:val="002759A0"/>
    <w:rsid w:val="002759F4"/>
    <w:rsid w:val="00275D07"/>
    <w:rsid w:val="00275E2D"/>
    <w:rsid w:val="00276456"/>
    <w:rsid w:val="002768FE"/>
    <w:rsid w:val="00276976"/>
    <w:rsid w:val="00276A67"/>
    <w:rsid w:val="00276A7E"/>
    <w:rsid w:val="00276DE5"/>
    <w:rsid w:val="002772FB"/>
    <w:rsid w:val="00277899"/>
    <w:rsid w:val="00277A63"/>
    <w:rsid w:val="00280013"/>
    <w:rsid w:val="00280797"/>
    <w:rsid w:val="00280970"/>
    <w:rsid w:val="0028112F"/>
    <w:rsid w:val="0028156E"/>
    <w:rsid w:val="00281638"/>
    <w:rsid w:val="00281659"/>
    <w:rsid w:val="002819A0"/>
    <w:rsid w:val="002819E2"/>
    <w:rsid w:val="00282035"/>
    <w:rsid w:val="0028209E"/>
    <w:rsid w:val="002822DB"/>
    <w:rsid w:val="0028269D"/>
    <w:rsid w:val="00282DC4"/>
    <w:rsid w:val="00282EFD"/>
    <w:rsid w:val="00282F97"/>
    <w:rsid w:val="0028316A"/>
    <w:rsid w:val="002832ED"/>
    <w:rsid w:val="002833F3"/>
    <w:rsid w:val="00283894"/>
    <w:rsid w:val="00283D15"/>
    <w:rsid w:val="00283ED0"/>
    <w:rsid w:val="002842B1"/>
    <w:rsid w:val="0028460B"/>
    <w:rsid w:val="00284677"/>
    <w:rsid w:val="002847AB"/>
    <w:rsid w:val="00284E84"/>
    <w:rsid w:val="002854AA"/>
    <w:rsid w:val="002858BF"/>
    <w:rsid w:val="00286015"/>
    <w:rsid w:val="0028622E"/>
    <w:rsid w:val="00286337"/>
    <w:rsid w:val="002865CC"/>
    <w:rsid w:val="00286774"/>
    <w:rsid w:val="0028694B"/>
    <w:rsid w:val="00286BEA"/>
    <w:rsid w:val="00286CEB"/>
    <w:rsid w:val="00287206"/>
    <w:rsid w:val="0028746F"/>
    <w:rsid w:val="00290110"/>
    <w:rsid w:val="00290829"/>
    <w:rsid w:val="00290A9F"/>
    <w:rsid w:val="00290CEA"/>
    <w:rsid w:val="002911C5"/>
    <w:rsid w:val="00291202"/>
    <w:rsid w:val="00291247"/>
    <w:rsid w:val="002914D5"/>
    <w:rsid w:val="00291721"/>
    <w:rsid w:val="00291FE4"/>
    <w:rsid w:val="0029219F"/>
    <w:rsid w:val="002923BF"/>
    <w:rsid w:val="00292662"/>
    <w:rsid w:val="0029284B"/>
    <w:rsid w:val="00292A13"/>
    <w:rsid w:val="00292DA9"/>
    <w:rsid w:val="002930ED"/>
    <w:rsid w:val="00293396"/>
    <w:rsid w:val="0029482A"/>
    <w:rsid w:val="00295295"/>
    <w:rsid w:val="00295316"/>
    <w:rsid w:val="00295356"/>
    <w:rsid w:val="002954BE"/>
    <w:rsid w:val="00295533"/>
    <w:rsid w:val="00295658"/>
    <w:rsid w:val="00295BC6"/>
    <w:rsid w:val="00295FAD"/>
    <w:rsid w:val="00295FB7"/>
    <w:rsid w:val="0029643F"/>
    <w:rsid w:val="0029653E"/>
    <w:rsid w:val="0029654F"/>
    <w:rsid w:val="00296FC7"/>
    <w:rsid w:val="002970A0"/>
    <w:rsid w:val="002971BF"/>
    <w:rsid w:val="00297336"/>
    <w:rsid w:val="002974C6"/>
    <w:rsid w:val="00297BF7"/>
    <w:rsid w:val="00297CE8"/>
    <w:rsid w:val="002A029E"/>
    <w:rsid w:val="002A135E"/>
    <w:rsid w:val="002A14F6"/>
    <w:rsid w:val="002A1719"/>
    <w:rsid w:val="002A182A"/>
    <w:rsid w:val="002A1BAD"/>
    <w:rsid w:val="002A1BCD"/>
    <w:rsid w:val="002A1D67"/>
    <w:rsid w:val="002A1E65"/>
    <w:rsid w:val="002A1E87"/>
    <w:rsid w:val="002A1FF0"/>
    <w:rsid w:val="002A21B0"/>
    <w:rsid w:val="002A236A"/>
    <w:rsid w:val="002A2915"/>
    <w:rsid w:val="002A2AD7"/>
    <w:rsid w:val="002A2F22"/>
    <w:rsid w:val="002A32C3"/>
    <w:rsid w:val="002A33C2"/>
    <w:rsid w:val="002A34FE"/>
    <w:rsid w:val="002A3925"/>
    <w:rsid w:val="002A3FFE"/>
    <w:rsid w:val="002A408A"/>
    <w:rsid w:val="002A4263"/>
    <w:rsid w:val="002A4304"/>
    <w:rsid w:val="002A46BC"/>
    <w:rsid w:val="002A50A5"/>
    <w:rsid w:val="002A5181"/>
    <w:rsid w:val="002A5259"/>
    <w:rsid w:val="002A5263"/>
    <w:rsid w:val="002A5336"/>
    <w:rsid w:val="002A5675"/>
    <w:rsid w:val="002A5802"/>
    <w:rsid w:val="002A5AC1"/>
    <w:rsid w:val="002A5BD5"/>
    <w:rsid w:val="002A5C66"/>
    <w:rsid w:val="002A5C71"/>
    <w:rsid w:val="002A5C72"/>
    <w:rsid w:val="002A5D3F"/>
    <w:rsid w:val="002A5ED3"/>
    <w:rsid w:val="002A5FD8"/>
    <w:rsid w:val="002A607F"/>
    <w:rsid w:val="002A608B"/>
    <w:rsid w:val="002A61C3"/>
    <w:rsid w:val="002A6234"/>
    <w:rsid w:val="002A62A1"/>
    <w:rsid w:val="002A6970"/>
    <w:rsid w:val="002A6C1A"/>
    <w:rsid w:val="002A6D22"/>
    <w:rsid w:val="002A73DF"/>
    <w:rsid w:val="002A7419"/>
    <w:rsid w:val="002A7892"/>
    <w:rsid w:val="002A7C1A"/>
    <w:rsid w:val="002B020D"/>
    <w:rsid w:val="002B116E"/>
    <w:rsid w:val="002B13CF"/>
    <w:rsid w:val="002B1559"/>
    <w:rsid w:val="002B162F"/>
    <w:rsid w:val="002B1AEA"/>
    <w:rsid w:val="002B1CAD"/>
    <w:rsid w:val="002B21DB"/>
    <w:rsid w:val="002B228C"/>
    <w:rsid w:val="002B2417"/>
    <w:rsid w:val="002B27F9"/>
    <w:rsid w:val="002B2B63"/>
    <w:rsid w:val="002B2C27"/>
    <w:rsid w:val="002B2DE3"/>
    <w:rsid w:val="002B2EB1"/>
    <w:rsid w:val="002B3444"/>
    <w:rsid w:val="002B3908"/>
    <w:rsid w:val="002B3BB3"/>
    <w:rsid w:val="002B3EAA"/>
    <w:rsid w:val="002B4142"/>
    <w:rsid w:val="002B45E5"/>
    <w:rsid w:val="002B485F"/>
    <w:rsid w:val="002B4933"/>
    <w:rsid w:val="002B5268"/>
    <w:rsid w:val="002B5376"/>
    <w:rsid w:val="002B54D2"/>
    <w:rsid w:val="002B5A7A"/>
    <w:rsid w:val="002B5C5B"/>
    <w:rsid w:val="002B5D5E"/>
    <w:rsid w:val="002B5DBD"/>
    <w:rsid w:val="002B5FFB"/>
    <w:rsid w:val="002B620E"/>
    <w:rsid w:val="002B63B6"/>
    <w:rsid w:val="002B6717"/>
    <w:rsid w:val="002B67EC"/>
    <w:rsid w:val="002B69E3"/>
    <w:rsid w:val="002B6B21"/>
    <w:rsid w:val="002B71AA"/>
    <w:rsid w:val="002B7300"/>
    <w:rsid w:val="002B73AC"/>
    <w:rsid w:val="002B75C3"/>
    <w:rsid w:val="002B77A1"/>
    <w:rsid w:val="002B7880"/>
    <w:rsid w:val="002C019A"/>
    <w:rsid w:val="002C06D6"/>
    <w:rsid w:val="002C07CF"/>
    <w:rsid w:val="002C0961"/>
    <w:rsid w:val="002C0DA7"/>
    <w:rsid w:val="002C1223"/>
    <w:rsid w:val="002C14B4"/>
    <w:rsid w:val="002C1880"/>
    <w:rsid w:val="002C1BED"/>
    <w:rsid w:val="002C1CF2"/>
    <w:rsid w:val="002C1D85"/>
    <w:rsid w:val="002C1FA0"/>
    <w:rsid w:val="002C22C2"/>
    <w:rsid w:val="002C28CF"/>
    <w:rsid w:val="002C29DB"/>
    <w:rsid w:val="002C2CB7"/>
    <w:rsid w:val="002C2CC6"/>
    <w:rsid w:val="002C2E46"/>
    <w:rsid w:val="002C34B0"/>
    <w:rsid w:val="002C35F7"/>
    <w:rsid w:val="002C3AD2"/>
    <w:rsid w:val="002C409E"/>
    <w:rsid w:val="002C43FB"/>
    <w:rsid w:val="002C44D2"/>
    <w:rsid w:val="002C4509"/>
    <w:rsid w:val="002C48F0"/>
    <w:rsid w:val="002C492C"/>
    <w:rsid w:val="002C4A03"/>
    <w:rsid w:val="002C4D70"/>
    <w:rsid w:val="002C4E4C"/>
    <w:rsid w:val="002C5053"/>
    <w:rsid w:val="002C5493"/>
    <w:rsid w:val="002C557E"/>
    <w:rsid w:val="002C591B"/>
    <w:rsid w:val="002C5DA5"/>
    <w:rsid w:val="002C5EFF"/>
    <w:rsid w:val="002C6634"/>
    <w:rsid w:val="002C68AE"/>
    <w:rsid w:val="002C6BF8"/>
    <w:rsid w:val="002C6DAD"/>
    <w:rsid w:val="002C74B9"/>
    <w:rsid w:val="002C7984"/>
    <w:rsid w:val="002C7EA1"/>
    <w:rsid w:val="002D045E"/>
    <w:rsid w:val="002D0752"/>
    <w:rsid w:val="002D0865"/>
    <w:rsid w:val="002D0C54"/>
    <w:rsid w:val="002D1306"/>
    <w:rsid w:val="002D143E"/>
    <w:rsid w:val="002D193B"/>
    <w:rsid w:val="002D1F6E"/>
    <w:rsid w:val="002D2490"/>
    <w:rsid w:val="002D24AB"/>
    <w:rsid w:val="002D2938"/>
    <w:rsid w:val="002D334E"/>
    <w:rsid w:val="002D365D"/>
    <w:rsid w:val="002D3734"/>
    <w:rsid w:val="002D39ED"/>
    <w:rsid w:val="002D3B1C"/>
    <w:rsid w:val="002D3E6E"/>
    <w:rsid w:val="002D4CCF"/>
    <w:rsid w:val="002D4DBD"/>
    <w:rsid w:val="002D56BA"/>
    <w:rsid w:val="002D5754"/>
    <w:rsid w:val="002D59D0"/>
    <w:rsid w:val="002D5B96"/>
    <w:rsid w:val="002D5BCA"/>
    <w:rsid w:val="002D5C1B"/>
    <w:rsid w:val="002D5C7C"/>
    <w:rsid w:val="002D5F4A"/>
    <w:rsid w:val="002D6085"/>
    <w:rsid w:val="002D6387"/>
    <w:rsid w:val="002D6525"/>
    <w:rsid w:val="002D6535"/>
    <w:rsid w:val="002D69AC"/>
    <w:rsid w:val="002D6A0F"/>
    <w:rsid w:val="002D6AB8"/>
    <w:rsid w:val="002D6F86"/>
    <w:rsid w:val="002D778C"/>
    <w:rsid w:val="002D77EC"/>
    <w:rsid w:val="002D78CA"/>
    <w:rsid w:val="002D797A"/>
    <w:rsid w:val="002D79A5"/>
    <w:rsid w:val="002D7B06"/>
    <w:rsid w:val="002D7CF0"/>
    <w:rsid w:val="002E0229"/>
    <w:rsid w:val="002E0745"/>
    <w:rsid w:val="002E0CFF"/>
    <w:rsid w:val="002E1293"/>
    <w:rsid w:val="002E1485"/>
    <w:rsid w:val="002E15B4"/>
    <w:rsid w:val="002E1977"/>
    <w:rsid w:val="002E1C07"/>
    <w:rsid w:val="002E1F01"/>
    <w:rsid w:val="002E1F70"/>
    <w:rsid w:val="002E1FDE"/>
    <w:rsid w:val="002E2486"/>
    <w:rsid w:val="002E26C8"/>
    <w:rsid w:val="002E28B7"/>
    <w:rsid w:val="002E2A8D"/>
    <w:rsid w:val="002E2B17"/>
    <w:rsid w:val="002E2C3F"/>
    <w:rsid w:val="002E3049"/>
    <w:rsid w:val="002E310E"/>
    <w:rsid w:val="002E3540"/>
    <w:rsid w:val="002E374A"/>
    <w:rsid w:val="002E3B94"/>
    <w:rsid w:val="002E401D"/>
    <w:rsid w:val="002E4175"/>
    <w:rsid w:val="002E4704"/>
    <w:rsid w:val="002E4B07"/>
    <w:rsid w:val="002E4C40"/>
    <w:rsid w:val="002E4E57"/>
    <w:rsid w:val="002E4E6F"/>
    <w:rsid w:val="002E5477"/>
    <w:rsid w:val="002E59BA"/>
    <w:rsid w:val="002E5CA7"/>
    <w:rsid w:val="002E5D5A"/>
    <w:rsid w:val="002E5D99"/>
    <w:rsid w:val="002E5DE8"/>
    <w:rsid w:val="002E5F75"/>
    <w:rsid w:val="002E6384"/>
    <w:rsid w:val="002E66FB"/>
    <w:rsid w:val="002E6A65"/>
    <w:rsid w:val="002E6BEE"/>
    <w:rsid w:val="002E6FE5"/>
    <w:rsid w:val="002E7343"/>
    <w:rsid w:val="002E74D3"/>
    <w:rsid w:val="002E75C4"/>
    <w:rsid w:val="002E7B2F"/>
    <w:rsid w:val="002E7B3A"/>
    <w:rsid w:val="002F0259"/>
    <w:rsid w:val="002F0417"/>
    <w:rsid w:val="002F064B"/>
    <w:rsid w:val="002F08E9"/>
    <w:rsid w:val="002F11E2"/>
    <w:rsid w:val="002F12BC"/>
    <w:rsid w:val="002F1C65"/>
    <w:rsid w:val="002F1D27"/>
    <w:rsid w:val="002F1E91"/>
    <w:rsid w:val="002F1ECF"/>
    <w:rsid w:val="002F1F0E"/>
    <w:rsid w:val="002F22A4"/>
    <w:rsid w:val="002F235C"/>
    <w:rsid w:val="002F293B"/>
    <w:rsid w:val="002F2FC9"/>
    <w:rsid w:val="002F34AE"/>
    <w:rsid w:val="002F3ACB"/>
    <w:rsid w:val="002F3B87"/>
    <w:rsid w:val="002F3F5E"/>
    <w:rsid w:val="002F4570"/>
    <w:rsid w:val="002F4CFE"/>
    <w:rsid w:val="002F4FF9"/>
    <w:rsid w:val="002F50E4"/>
    <w:rsid w:val="002F5593"/>
    <w:rsid w:val="002F563A"/>
    <w:rsid w:val="002F56F3"/>
    <w:rsid w:val="002F577D"/>
    <w:rsid w:val="002F5BD6"/>
    <w:rsid w:val="002F5D4D"/>
    <w:rsid w:val="002F62A0"/>
    <w:rsid w:val="002F64ED"/>
    <w:rsid w:val="002F66CA"/>
    <w:rsid w:val="002F6912"/>
    <w:rsid w:val="002F6E70"/>
    <w:rsid w:val="002F7090"/>
    <w:rsid w:val="002F7490"/>
    <w:rsid w:val="002F7545"/>
    <w:rsid w:val="002F79E0"/>
    <w:rsid w:val="002F7AE2"/>
    <w:rsid w:val="002F7BDE"/>
    <w:rsid w:val="00300570"/>
    <w:rsid w:val="00300678"/>
    <w:rsid w:val="003006D4"/>
    <w:rsid w:val="003007BD"/>
    <w:rsid w:val="00300B74"/>
    <w:rsid w:val="003010A4"/>
    <w:rsid w:val="003011CD"/>
    <w:rsid w:val="0030125C"/>
    <w:rsid w:val="0030161A"/>
    <w:rsid w:val="003019C6"/>
    <w:rsid w:val="00301F06"/>
    <w:rsid w:val="00302153"/>
    <w:rsid w:val="003025B8"/>
    <w:rsid w:val="00302798"/>
    <w:rsid w:val="00302B5D"/>
    <w:rsid w:val="0030347F"/>
    <w:rsid w:val="003035B6"/>
    <w:rsid w:val="00303CFA"/>
    <w:rsid w:val="003042C1"/>
    <w:rsid w:val="0030439E"/>
    <w:rsid w:val="003045AA"/>
    <w:rsid w:val="003046EC"/>
    <w:rsid w:val="00304862"/>
    <w:rsid w:val="00304A1C"/>
    <w:rsid w:val="00304B09"/>
    <w:rsid w:val="00304E67"/>
    <w:rsid w:val="00304EA1"/>
    <w:rsid w:val="00305057"/>
    <w:rsid w:val="0030513B"/>
    <w:rsid w:val="00305375"/>
    <w:rsid w:val="00305C67"/>
    <w:rsid w:val="00306296"/>
    <w:rsid w:val="003063DA"/>
    <w:rsid w:val="003065B9"/>
    <w:rsid w:val="003067B8"/>
    <w:rsid w:val="0030694E"/>
    <w:rsid w:val="003070CC"/>
    <w:rsid w:val="003073B9"/>
    <w:rsid w:val="00307469"/>
    <w:rsid w:val="00307793"/>
    <w:rsid w:val="00307894"/>
    <w:rsid w:val="00307F36"/>
    <w:rsid w:val="00307F3F"/>
    <w:rsid w:val="00307F4E"/>
    <w:rsid w:val="003104C6"/>
    <w:rsid w:val="003107BB"/>
    <w:rsid w:val="00310890"/>
    <w:rsid w:val="00310A65"/>
    <w:rsid w:val="00310DDB"/>
    <w:rsid w:val="00310F0B"/>
    <w:rsid w:val="00311081"/>
    <w:rsid w:val="0031139B"/>
    <w:rsid w:val="003116BA"/>
    <w:rsid w:val="0031190C"/>
    <w:rsid w:val="00311AAE"/>
    <w:rsid w:val="00311B09"/>
    <w:rsid w:val="00311C26"/>
    <w:rsid w:val="00311C8E"/>
    <w:rsid w:val="0031225C"/>
    <w:rsid w:val="003122DF"/>
    <w:rsid w:val="003124B6"/>
    <w:rsid w:val="00312723"/>
    <w:rsid w:val="0031293F"/>
    <w:rsid w:val="0031312F"/>
    <w:rsid w:val="00313512"/>
    <w:rsid w:val="0031370F"/>
    <w:rsid w:val="00313832"/>
    <w:rsid w:val="0031390A"/>
    <w:rsid w:val="00313CA1"/>
    <w:rsid w:val="00313D7E"/>
    <w:rsid w:val="00313EC4"/>
    <w:rsid w:val="00314036"/>
    <w:rsid w:val="003140AA"/>
    <w:rsid w:val="00314488"/>
    <w:rsid w:val="00314644"/>
    <w:rsid w:val="00314A54"/>
    <w:rsid w:val="00315D50"/>
    <w:rsid w:val="003167B2"/>
    <w:rsid w:val="0031718C"/>
    <w:rsid w:val="00317437"/>
    <w:rsid w:val="003177EF"/>
    <w:rsid w:val="003178DB"/>
    <w:rsid w:val="00317B2B"/>
    <w:rsid w:val="00317BE5"/>
    <w:rsid w:val="00320B6C"/>
    <w:rsid w:val="00320D19"/>
    <w:rsid w:val="00320F2F"/>
    <w:rsid w:val="00320F5F"/>
    <w:rsid w:val="0032119E"/>
    <w:rsid w:val="00321209"/>
    <w:rsid w:val="0032183C"/>
    <w:rsid w:val="00321CB3"/>
    <w:rsid w:val="00321DAC"/>
    <w:rsid w:val="00321FC8"/>
    <w:rsid w:val="0032255E"/>
    <w:rsid w:val="0032298A"/>
    <w:rsid w:val="00322CF0"/>
    <w:rsid w:val="00322FC1"/>
    <w:rsid w:val="003231CC"/>
    <w:rsid w:val="0032320B"/>
    <w:rsid w:val="00323670"/>
    <w:rsid w:val="003236CF"/>
    <w:rsid w:val="0032383A"/>
    <w:rsid w:val="00323B4A"/>
    <w:rsid w:val="00323BDD"/>
    <w:rsid w:val="00323C4D"/>
    <w:rsid w:val="003242F6"/>
    <w:rsid w:val="003248B6"/>
    <w:rsid w:val="00324AD3"/>
    <w:rsid w:val="00324D54"/>
    <w:rsid w:val="00324E77"/>
    <w:rsid w:val="0032511B"/>
    <w:rsid w:val="003254D5"/>
    <w:rsid w:val="003256DA"/>
    <w:rsid w:val="00325C93"/>
    <w:rsid w:val="00325E05"/>
    <w:rsid w:val="00325EF0"/>
    <w:rsid w:val="00325F66"/>
    <w:rsid w:val="00326212"/>
    <w:rsid w:val="00326327"/>
    <w:rsid w:val="0032634F"/>
    <w:rsid w:val="00326EC6"/>
    <w:rsid w:val="00327069"/>
    <w:rsid w:val="0032740C"/>
    <w:rsid w:val="0032751F"/>
    <w:rsid w:val="003276E5"/>
    <w:rsid w:val="00327776"/>
    <w:rsid w:val="00327968"/>
    <w:rsid w:val="00327E53"/>
    <w:rsid w:val="003301B4"/>
    <w:rsid w:val="003301B5"/>
    <w:rsid w:val="0033067B"/>
    <w:rsid w:val="0033071F"/>
    <w:rsid w:val="003309E6"/>
    <w:rsid w:val="0033116A"/>
    <w:rsid w:val="00331178"/>
    <w:rsid w:val="003311E5"/>
    <w:rsid w:val="003312CC"/>
    <w:rsid w:val="003316B2"/>
    <w:rsid w:val="003317AD"/>
    <w:rsid w:val="00331980"/>
    <w:rsid w:val="00332A90"/>
    <w:rsid w:val="00332ACD"/>
    <w:rsid w:val="00332B17"/>
    <w:rsid w:val="0033302E"/>
    <w:rsid w:val="00333873"/>
    <w:rsid w:val="003338D9"/>
    <w:rsid w:val="003338FF"/>
    <w:rsid w:val="00333BC7"/>
    <w:rsid w:val="0033402B"/>
    <w:rsid w:val="003340F6"/>
    <w:rsid w:val="00334223"/>
    <w:rsid w:val="00334247"/>
    <w:rsid w:val="0033464A"/>
    <w:rsid w:val="003347E0"/>
    <w:rsid w:val="00334940"/>
    <w:rsid w:val="00334FF4"/>
    <w:rsid w:val="0033640D"/>
    <w:rsid w:val="003367F3"/>
    <w:rsid w:val="0033685E"/>
    <w:rsid w:val="003368B8"/>
    <w:rsid w:val="00336AFF"/>
    <w:rsid w:val="00336BBE"/>
    <w:rsid w:val="00336C81"/>
    <w:rsid w:val="00336F6C"/>
    <w:rsid w:val="003370F6"/>
    <w:rsid w:val="003372B1"/>
    <w:rsid w:val="003377CC"/>
    <w:rsid w:val="00337BEE"/>
    <w:rsid w:val="00337E78"/>
    <w:rsid w:val="00340416"/>
    <w:rsid w:val="00340789"/>
    <w:rsid w:val="00341177"/>
    <w:rsid w:val="00341429"/>
    <w:rsid w:val="00341892"/>
    <w:rsid w:val="00341CC9"/>
    <w:rsid w:val="003421E6"/>
    <w:rsid w:val="00342541"/>
    <w:rsid w:val="003434B3"/>
    <w:rsid w:val="00343BAC"/>
    <w:rsid w:val="00343BCF"/>
    <w:rsid w:val="00344125"/>
    <w:rsid w:val="00344212"/>
    <w:rsid w:val="00344288"/>
    <w:rsid w:val="00344476"/>
    <w:rsid w:val="003445A2"/>
    <w:rsid w:val="0034494A"/>
    <w:rsid w:val="00344CAD"/>
    <w:rsid w:val="00344FF4"/>
    <w:rsid w:val="003452C6"/>
    <w:rsid w:val="0034537F"/>
    <w:rsid w:val="003459F1"/>
    <w:rsid w:val="00345EEE"/>
    <w:rsid w:val="003463DA"/>
    <w:rsid w:val="00346B6F"/>
    <w:rsid w:val="003470B5"/>
    <w:rsid w:val="00347532"/>
    <w:rsid w:val="00347B94"/>
    <w:rsid w:val="00347D3D"/>
    <w:rsid w:val="00347D98"/>
    <w:rsid w:val="0035014C"/>
    <w:rsid w:val="003508F0"/>
    <w:rsid w:val="0035094B"/>
    <w:rsid w:val="00350BBA"/>
    <w:rsid w:val="00350D3C"/>
    <w:rsid w:val="003513B4"/>
    <w:rsid w:val="003518F4"/>
    <w:rsid w:val="00351A44"/>
    <w:rsid w:val="00351D0B"/>
    <w:rsid w:val="00351E31"/>
    <w:rsid w:val="003520DC"/>
    <w:rsid w:val="00352439"/>
    <w:rsid w:val="00352732"/>
    <w:rsid w:val="0035288F"/>
    <w:rsid w:val="00352B8C"/>
    <w:rsid w:val="00352F32"/>
    <w:rsid w:val="003531A8"/>
    <w:rsid w:val="0035350F"/>
    <w:rsid w:val="00353A7D"/>
    <w:rsid w:val="00353F99"/>
    <w:rsid w:val="0035450A"/>
    <w:rsid w:val="0035513E"/>
    <w:rsid w:val="00355704"/>
    <w:rsid w:val="003557BC"/>
    <w:rsid w:val="00355864"/>
    <w:rsid w:val="00355E2B"/>
    <w:rsid w:val="00355EA9"/>
    <w:rsid w:val="00356031"/>
    <w:rsid w:val="0035614C"/>
    <w:rsid w:val="00356ACF"/>
    <w:rsid w:val="00356BD6"/>
    <w:rsid w:val="00356CB3"/>
    <w:rsid w:val="00356CF0"/>
    <w:rsid w:val="00357360"/>
    <w:rsid w:val="00357659"/>
    <w:rsid w:val="00357856"/>
    <w:rsid w:val="00357943"/>
    <w:rsid w:val="00357AB0"/>
    <w:rsid w:val="0036029A"/>
    <w:rsid w:val="0036048C"/>
    <w:rsid w:val="003608A6"/>
    <w:rsid w:val="00360E3A"/>
    <w:rsid w:val="0036119D"/>
    <w:rsid w:val="003613AA"/>
    <w:rsid w:val="00361DD4"/>
    <w:rsid w:val="003620CA"/>
    <w:rsid w:val="003622D6"/>
    <w:rsid w:val="0036242A"/>
    <w:rsid w:val="00362602"/>
    <w:rsid w:val="00362CB2"/>
    <w:rsid w:val="003631CF"/>
    <w:rsid w:val="0036347F"/>
    <w:rsid w:val="00363588"/>
    <w:rsid w:val="00363D4F"/>
    <w:rsid w:val="00363DC7"/>
    <w:rsid w:val="00363DEA"/>
    <w:rsid w:val="00363FA3"/>
    <w:rsid w:val="00363FCE"/>
    <w:rsid w:val="00364205"/>
    <w:rsid w:val="003646BE"/>
    <w:rsid w:val="00364AC7"/>
    <w:rsid w:val="00364BA9"/>
    <w:rsid w:val="003651E8"/>
    <w:rsid w:val="00365222"/>
    <w:rsid w:val="00365494"/>
    <w:rsid w:val="00365C17"/>
    <w:rsid w:val="00365F2B"/>
    <w:rsid w:val="00366091"/>
    <w:rsid w:val="003663BE"/>
    <w:rsid w:val="003664D2"/>
    <w:rsid w:val="003664E6"/>
    <w:rsid w:val="0036667E"/>
    <w:rsid w:val="00366761"/>
    <w:rsid w:val="0036709B"/>
    <w:rsid w:val="0036775C"/>
    <w:rsid w:val="00367986"/>
    <w:rsid w:val="00367E34"/>
    <w:rsid w:val="003703F4"/>
    <w:rsid w:val="003704F9"/>
    <w:rsid w:val="003706C2"/>
    <w:rsid w:val="00370B44"/>
    <w:rsid w:val="00371334"/>
    <w:rsid w:val="00371706"/>
    <w:rsid w:val="00371991"/>
    <w:rsid w:val="0037208E"/>
    <w:rsid w:val="003723FE"/>
    <w:rsid w:val="00372521"/>
    <w:rsid w:val="00372A37"/>
    <w:rsid w:val="00372E25"/>
    <w:rsid w:val="00372EE8"/>
    <w:rsid w:val="0037304A"/>
    <w:rsid w:val="003733E8"/>
    <w:rsid w:val="00373477"/>
    <w:rsid w:val="00373683"/>
    <w:rsid w:val="003736F2"/>
    <w:rsid w:val="00373775"/>
    <w:rsid w:val="003740AA"/>
    <w:rsid w:val="00374481"/>
    <w:rsid w:val="00374BA9"/>
    <w:rsid w:val="003755DD"/>
    <w:rsid w:val="0037577A"/>
    <w:rsid w:val="00375D64"/>
    <w:rsid w:val="00375D66"/>
    <w:rsid w:val="00375E44"/>
    <w:rsid w:val="00375E4D"/>
    <w:rsid w:val="0037654E"/>
    <w:rsid w:val="003767FB"/>
    <w:rsid w:val="00376870"/>
    <w:rsid w:val="00376C27"/>
    <w:rsid w:val="003770BC"/>
    <w:rsid w:val="003772CE"/>
    <w:rsid w:val="0037753A"/>
    <w:rsid w:val="003775E6"/>
    <w:rsid w:val="00377888"/>
    <w:rsid w:val="00377952"/>
    <w:rsid w:val="00377D16"/>
    <w:rsid w:val="00380061"/>
    <w:rsid w:val="003800E1"/>
    <w:rsid w:val="0038036E"/>
    <w:rsid w:val="00380442"/>
    <w:rsid w:val="003805CE"/>
    <w:rsid w:val="0038075D"/>
    <w:rsid w:val="00380C08"/>
    <w:rsid w:val="00380D77"/>
    <w:rsid w:val="00380E83"/>
    <w:rsid w:val="003819B0"/>
    <w:rsid w:val="00381C9F"/>
    <w:rsid w:val="00381CC3"/>
    <w:rsid w:val="00381D7F"/>
    <w:rsid w:val="00382061"/>
    <w:rsid w:val="003825B2"/>
    <w:rsid w:val="00382673"/>
    <w:rsid w:val="003826A6"/>
    <w:rsid w:val="00382778"/>
    <w:rsid w:val="00382AB6"/>
    <w:rsid w:val="00382C23"/>
    <w:rsid w:val="00382C7A"/>
    <w:rsid w:val="00382FD8"/>
    <w:rsid w:val="003830EC"/>
    <w:rsid w:val="00383177"/>
    <w:rsid w:val="00383463"/>
    <w:rsid w:val="00383484"/>
    <w:rsid w:val="003835BA"/>
    <w:rsid w:val="00383A20"/>
    <w:rsid w:val="0038455D"/>
    <w:rsid w:val="003846BB"/>
    <w:rsid w:val="00384849"/>
    <w:rsid w:val="0038487A"/>
    <w:rsid w:val="0038492E"/>
    <w:rsid w:val="00384C71"/>
    <w:rsid w:val="00384CAD"/>
    <w:rsid w:val="00384D55"/>
    <w:rsid w:val="003851C5"/>
    <w:rsid w:val="003857F0"/>
    <w:rsid w:val="00385855"/>
    <w:rsid w:val="003858FD"/>
    <w:rsid w:val="00385A4D"/>
    <w:rsid w:val="00385BF1"/>
    <w:rsid w:val="00385C6A"/>
    <w:rsid w:val="00385D01"/>
    <w:rsid w:val="00385DBC"/>
    <w:rsid w:val="003866D6"/>
    <w:rsid w:val="00386797"/>
    <w:rsid w:val="003869AC"/>
    <w:rsid w:val="003869ED"/>
    <w:rsid w:val="00386A84"/>
    <w:rsid w:val="00386EC0"/>
    <w:rsid w:val="0038715A"/>
    <w:rsid w:val="00387224"/>
    <w:rsid w:val="00387457"/>
    <w:rsid w:val="00387910"/>
    <w:rsid w:val="00387BE0"/>
    <w:rsid w:val="00390237"/>
    <w:rsid w:val="00390489"/>
    <w:rsid w:val="00391281"/>
    <w:rsid w:val="003913FB"/>
    <w:rsid w:val="0039147F"/>
    <w:rsid w:val="00391672"/>
    <w:rsid w:val="003916D8"/>
    <w:rsid w:val="0039179D"/>
    <w:rsid w:val="003918A0"/>
    <w:rsid w:val="00391A5F"/>
    <w:rsid w:val="00391B38"/>
    <w:rsid w:val="00391DB0"/>
    <w:rsid w:val="003920C8"/>
    <w:rsid w:val="0039210F"/>
    <w:rsid w:val="00392146"/>
    <w:rsid w:val="003921E4"/>
    <w:rsid w:val="00392484"/>
    <w:rsid w:val="003924B5"/>
    <w:rsid w:val="00392636"/>
    <w:rsid w:val="00392983"/>
    <w:rsid w:val="003929EA"/>
    <w:rsid w:val="00392BE1"/>
    <w:rsid w:val="00392F71"/>
    <w:rsid w:val="0039320B"/>
    <w:rsid w:val="0039320C"/>
    <w:rsid w:val="003939DE"/>
    <w:rsid w:val="00393A4F"/>
    <w:rsid w:val="00393F0E"/>
    <w:rsid w:val="00393F86"/>
    <w:rsid w:val="00393FB5"/>
    <w:rsid w:val="00394049"/>
    <w:rsid w:val="003942B4"/>
    <w:rsid w:val="003942F8"/>
    <w:rsid w:val="00394682"/>
    <w:rsid w:val="003947CB"/>
    <w:rsid w:val="00394A16"/>
    <w:rsid w:val="003950BB"/>
    <w:rsid w:val="00395348"/>
    <w:rsid w:val="003958AF"/>
    <w:rsid w:val="00396291"/>
    <w:rsid w:val="00396DAF"/>
    <w:rsid w:val="00396DCF"/>
    <w:rsid w:val="00396F42"/>
    <w:rsid w:val="0039709C"/>
    <w:rsid w:val="003970FC"/>
    <w:rsid w:val="00397221"/>
    <w:rsid w:val="00397439"/>
    <w:rsid w:val="003978CE"/>
    <w:rsid w:val="00397AFA"/>
    <w:rsid w:val="00397EA3"/>
    <w:rsid w:val="00397EDF"/>
    <w:rsid w:val="003A01F5"/>
    <w:rsid w:val="003A06B7"/>
    <w:rsid w:val="003A08E5"/>
    <w:rsid w:val="003A0A0A"/>
    <w:rsid w:val="003A0C0A"/>
    <w:rsid w:val="003A10E5"/>
    <w:rsid w:val="003A133D"/>
    <w:rsid w:val="003A174D"/>
    <w:rsid w:val="003A183B"/>
    <w:rsid w:val="003A183E"/>
    <w:rsid w:val="003A188A"/>
    <w:rsid w:val="003A205C"/>
    <w:rsid w:val="003A20CB"/>
    <w:rsid w:val="003A2388"/>
    <w:rsid w:val="003A2856"/>
    <w:rsid w:val="003A2A5D"/>
    <w:rsid w:val="003A2B05"/>
    <w:rsid w:val="003A2CB8"/>
    <w:rsid w:val="003A2D93"/>
    <w:rsid w:val="003A33DD"/>
    <w:rsid w:val="003A3D1B"/>
    <w:rsid w:val="003A3D68"/>
    <w:rsid w:val="003A4026"/>
    <w:rsid w:val="003A4276"/>
    <w:rsid w:val="003A4492"/>
    <w:rsid w:val="003A4C3F"/>
    <w:rsid w:val="003A4E17"/>
    <w:rsid w:val="003A4FBB"/>
    <w:rsid w:val="003A58AE"/>
    <w:rsid w:val="003A649C"/>
    <w:rsid w:val="003A66D7"/>
    <w:rsid w:val="003A6781"/>
    <w:rsid w:val="003A6E66"/>
    <w:rsid w:val="003A716D"/>
    <w:rsid w:val="003A7A52"/>
    <w:rsid w:val="003A7BBD"/>
    <w:rsid w:val="003A7C88"/>
    <w:rsid w:val="003A7CB8"/>
    <w:rsid w:val="003A7E54"/>
    <w:rsid w:val="003B00BC"/>
    <w:rsid w:val="003B0489"/>
    <w:rsid w:val="003B0511"/>
    <w:rsid w:val="003B06DD"/>
    <w:rsid w:val="003B09AF"/>
    <w:rsid w:val="003B0C1D"/>
    <w:rsid w:val="003B0CE4"/>
    <w:rsid w:val="003B11DC"/>
    <w:rsid w:val="003B147F"/>
    <w:rsid w:val="003B15C8"/>
    <w:rsid w:val="003B179D"/>
    <w:rsid w:val="003B1807"/>
    <w:rsid w:val="003B1847"/>
    <w:rsid w:val="003B1848"/>
    <w:rsid w:val="003B1A41"/>
    <w:rsid w:val="003B1DBB"/>
    <w:rsid w:val="003B224E"/>
    <w:rsid w:val="003B235E"/>
    <w:rsid w:val="003B25F3"/>
    <w:rsid w:val="003B2633"/>
    <w:rsid w:val="003B2687"/>
    <w:rsid w:val="003B29C5"/>
    <w:rsid w:val="003B2A11"/>
    <w:rsid w:val="003B2A8A"/>
    <w:rsid w:val="003B2AC7"/>
    <w:rsid w:val="003B2E13"/>
    <w:rsid w:val="003B2F88"/>
    <w:rsid w:val="003B3388"/>
    <w:rsid w:val="003B3668"/>
    <w:rsid w:val="003B3767"/>
    <w:rsid w:val="003B40FD"/>
    <w:rsid w:val="003B41F7"/>
    <w:rsid w:val="003B44DD"/>
    <w:rsid w:val="003B47E9"/>
    <w:rsid w:val="003B4873"/>
    <w:rsid w:val="003B4B99"/>
    <w:rsid w:val="003B541B"/>
    <w:rsid w:val="003B5719"/>
    <w:rsid w:val="003B5844"/>
    <w:rsid w:val="003B5946"/>
    <w:rsid w:val="003B5EEA"/>
    <w:rsid w:val="003B6058"/>
    <w:rsid w:val="003B64BA"/>
    <w:rsid w:val="003B6534"/>
    <w:rsid w:val="003B68B1"/>
    <w:rsid w:val="003B6AAB"/>
    <w:rsid w:val="003B6B34"/>
    <w:rsid w:val="003B6CAC"/>
    <w:rsid w:val="003B6D5D"/>
    <w:rsid w:val="003B6F9B"/>
    <w:rsid w:val="003B7241"/>
    <w:rsid w:val="003B785F"/>
    <w:rsid w:val="003B7928"/>
    <w:rsid w:val="003B7979"/>
    <w:rsid w:val="003B7A89"/>
    <w:rsid w:val="003B7F31"/>
    <w:rsid w:val="003C05C5"/>
    <w:rsid w:val="003C08C0"/>
    <w:rsid w:val="003C0C74"/>
    <w:rsid w:val="003C0FA4"/>
    <w:rsid w:val="003C10AB"/>
    <w:rsid w:val="003C10DC"/>
    <w:rsid w:val="003C10EF"/>
    <w:rsid w:val="003C1129"/>
    <w:rsid w:val="003C157A"/>
    <w:rsid w:val="003C1653"/>
    <w:rsid w:val="003C16C0"/>
    <w:rsid w:val="003C1B13"/>
    <w:rsid w:val="003C1C74"/>
    <w:rsid w:val="003C1F42"/>
    <w:rsid w:val="003C1FFC"/>
    <w:rsid w:val="003C22E1"/>
    <w:rsid w:val="003C2A68"/>
    <w:rsid w:val="003C2C6D"/>
    <w:rsid w:val="003C2D3A"/>
    <w:rsid w:val="003C3048"/>
    <w:rsid w:val="003C30E9"/>
    <w:rsid w:val="003C3EE9"/>
    <w:rsid w:val="003C474B"/>
    <w:rsid w:val="003C4F5B"/>
    <w:rsid w:val="003C53F0"/>
    <w:rsid w:val="003C561F"/>
    <w:rsid w:val="003C58A8"/>
    <w:rsid w:val="003C5DBA"/>
    <w:rsid w:val="003C61D5"/>
    <w:rsid w:val="003C6BA7"/>
    <w:rsid w:val="003C77E3"/>
    <w:rsid w:val="003C7AE3"/>
    <w:rsid w:val="003C7E6A"/>
    <w:rsid w:val="003C7F45"/>
    <w:rsid w:val="003C7FEC"/>
    <w:rsid w:val="003D004E"/>
    <w:rsid w:val="003D0606"/>
    <w:rsid w:val="003D0800"/>
    <w:rsid w:val="003D0D96"/>
    <w:rsid w:val="003D107C"/>
    <w:rsid w:val="003D137E"/>
    <w:rsid w:val="003D1857"/>
    <w:rsid w:val="003D2174"/>
    <w:rsid w:val="003D2713"/>
    <w:rsid w:val="003D2758"/>
    <w:rsid w:val="003D2EA9"/>
    <w:rsid w:val="003D2F43"/>
    <w:rsid w:val="003D322B"/>
    <w:rsid w:val="003D3315"/>
    <w:rsid w:val="003D36C3"/>
    <w:rsid w:val="003D3874"/>
    <w:rsid w:val="003D38D0"/>
    <w:rsid w:val="003D3AD2"/>
    <w:rsid w:val="003D3CB1"/>
    <w:rsid w:val="003D3F9B"/>
    <w:rsid w:val="003D3FBB"/>
    <w:rsid w:val="003D440C"/>
    <w:rsid w:val="003D4480"/>
    <w:rsid w:val="003D4957"/>
    <w:rsid w:val="003D4B31"/>
    <w:rsid w:val="003D4E8B"/>
    <w:rsid w:val="003D4F35"/>
    <w:rsid w:val="003D556F"/>
    <w:rsid w:val="003D5578"/>
    <w:rsid w:val="003D59B0"/>
    <w:rsid w:val="003D5B75"/>
    <w:rsid w:val="003D5E03"/>
    <w:rsid w:val="003D5FA2"/>
    <w:rsid w:val="003D6823"/>
    <w:rsid w:val="003D6B7C"/>
    <w:rsid w:val="003D6B8E"/>
    <w:rsid w:val="003D6C27"/>
    <w:rsid w:val="003D77D4"/>
    <w:rsid w:val="003D798D"/>
    <w:rsid w:val="003D79C3"/>
    <w:rsid w:val="003D79D2"/>
    <w:rsid w:val="003D79D4"/>
    <w:rsid w:val="003D7F20"/>
    <w:rsid w:val="003E00CC"/>
    <w:rsid w:val="003E054E"/>
    <w:rsid w:val="003E0572"/>
    <w:rsid w:val="003E06B9"/>
    <w:rsid w:val="003E08A9"/>
    <w:rsid w:val="003E08EC"/>
    <w:rsid w:val="003E0B5E"/>
    <w:rsid w:val="003E0E8F"/>
    <w:rsid w:val="003E133F"/>
    <w:rsid w:val="003E14CE"/>
    <w:rsid w:val="003E1685"/>
    <w:rsid w:val="003E16CE"/>
    <w:rsid w:val="003E16FA"/>
    <w:rsid w:val="003E1828"/>
    <w:rsid w:val="003E18E1"/>
    <w:rsid w:val="003E196E"/>
    <w:rsid w:val="003E1C25"/>
    <w:rsid w:val="003E1C79"/>
    <w:rsid w:val="003E1D43"/>
    <w:rsid w:val="003E1E50"/>
    <w:rsid w:val="003E21DB"/>
    <w:rsid w:val="003E230D"/>
    <w:rsid w:val="003E2ADD"/>
    <w:rsid w:val="003E2AFB"/>
    <w:rsid w:val="003E2BCA"/>
    <w:rsid w:val="003E2BD0"/>
    <w:rsid w:val="003E2D6F"/>
    <w:rsid w:val="003E30A9"/>
    <w:rsid w:val="003E375D"/>
    <w:rsid w:val="003E3A24"/>
    <w:rsid w:val="003E3F17"/>
    <w:rsid w:val="003E407F"/>
    <w:rsid w:val="003E41A8"/>
    <w:rsid w:val="003E46A2"/>
    <w:rsid w:val="003E4B58"/>
    <w:rsid w:val="003E4D5C"/>
    <w:rsid w:val="003E4FC2"/>
    <w:rsid w:val="003E51EB"/>
    <w:rsid w:val="003E52E6"/>
    <w:rsid w:val="003E56DB"/>
    <w:rsid w:val="003E588B"/>
    <w:rsid w:val="003E6191"/>
    <w:rsid w:val="003E64E3"/>
    <w:rsid w:val="003E65C1"/>
    <w:rsid w:val="003E6A68"/>
    <w:rsid w:val="003E6C79"/>
    <w:rsid w:val="003E6D07"/>
    <w:rsid w:val="003E6D89"/>
    <w:rsid w:val="003E6F26"/>
    <w:rsid w:val="003E74A2"/>
    <w:rsid w:val="003E761D"/>
    <w:rsid w:val="003E76E7"/>
    <w:rsid w:val="003E7702"/>
    <w:rsid w:val="003E792D"/>
    <w:rsid w:val="003E7F0B"/>
    <w:rsid w:val="003F00A2"/>
    <w:rsid w:val="003F0245"/>
    <w:rsid w:val="003F068F"/>
    <w:rsid w:val="003F095E"/>
    <w:rsid w:val="003F0A37"/>
    <w:rsid w:val="003F0CAA"/>
    <w:rsid w:val="003F110A"/>
    <w:rsid w:val="003F1AE3"/>
    <w:rsid w:val="003F1F3C"/>
    <w:rsid w:val="003F1F42"/>
    <w:rsid w:val="003F222D"/>
    <w:rsid w:val="003F25A5"/>
    <w:rsid w:val="003F26D7"/>
    <w:rsid w:val="003F2857"/>
    <w:rsid w:val="003F2B9C"/>
    <w:rsid w:val="003F2D1A"/>
    <w:rsid w:val="003F3184"/>
    <w:rsid w:val="003F33F5"/>
    <w:rsid w:val="003F3668"/>
    <w:rsid w:val="003F374F"/>
    <w:rsid w:val="003F3C07"/>
    <w:rsid w:val="003F3D63"/>
    <w:rsid w:val="003F4261"/>
    <w:rsid w:val="003F48D9"/>
    <w:rsid w:val="003F4A35"/>
    <w:rsid w:val="003F4AF4"/>
    <w:rsid w:val="003F4B08"/>
    <w:rsid w:val="003F50B8"/>
    <w:rsid w:val="003F5147"/>
    <w:rsid w:val="003F57F9"/>
    <w:rsid w:val="003F5A5E"/>
    <w:rsid w:val="003F5F29"/>
    <w:rsid w:val="003F5F9A"/>
    <w:rsid w:val="003F6019"/>
    <w:rsid w:val="003F621D"/>
    <w:rsid w:val="003F62E3"/>
    <w:rsid w:val="003F63C8"/>
    <w:rsid w:val="003F6833"/>
    <w:rsid w:val="003F6852"/>
    <w:rsid w:val="003F7145"/>
    <w:rsid w:val="003F7167"/>
    <w:rsid w:val="003F7273"/>
    <w:rsid w:val="003F75AE"/>
    <w:rsid w:val="003F76B7"/>
    <w:rsid w:val="003F7C31"/>
    <w:rsid w:val="003F7E67"/>
    <w:rsid w:val="0040005F"/>
    <w:rsid w:val="00400095"/>
    <w:rsid w:val="00400142"/>
    <w:rsid w:val="0040034A"/>
    <w:rsid w:val="004003BF"/>
    <w:rsid w:val="0040072B"/>
    <w:rsid w:val="004009D6"/>
    <w:rsid w:val="00400D47"/>
    <w:rsid w:val="0040129E"/>
    <w:rsid w:val="004015A9"/>
    <w:rsid w:val="00401EC2"/>
    <w:rsid w:val="0040204E"/>
    <w:rsid w:val="004021F0"/>
    <w:rsid w:val="00402C7F"/>
    <w:rsid w:val="00402EDD"/>
    <w:rsid w:val="0040306C"/>
    <w:rsid w:val="004033AD"/>
    <w:rsid w:val="0040351E"/>
    <w:rsid w:val="004035B5"/>
    <w:rsid w:val="0040393F"/>
    <w:rsid w:val="00403A1A"/>
    <w:rsid w:val="00404046"/>
    <w:rsid w:val="0040411F"/>
    <w:rsid w:val="0040460A"/>
    <w:rsid w:val="004046CE"/>
    <w:rsid w:val="0040472D"/>
    <w:rsid w:val="00404833"/>
    <w:rsid w:val="00404C46"/>
    <w:rsid w:val="0040542A"/>
    <w:rsid w:val="00405766"/>
    <w:rsid w:val="00405BA1"/>
    <w:rsid w:val="0040614E"/>
    <w:rsid w:val="00406D83"/>
    <w:rsid w:val="00406DF7"/>
    <w:rsid w:val="00406E58"/>
    <w:rsid w:val="00407C58"/>
    <w:rsid w:val="00410955"/>
    <w:rsid w:val="00410D2E"/>
    <w:rsid w:val="00411072"/>
    <w:rsid w:val="00411302"/>
    <w:rsid w:val="0041158F"/>
    <w:rsid w:val="004115B6"/>
    <w:rsid w:val="00411C8F"/>
    <w:rsid w:val="00412976"/>
    <w:rsid w:val="00412C63"/>
    <w:rsid w:val="0041311B"/>
    <w:rsid w:val="0041327F"/>
    <w:rsid w:val="004132CD"/>
    <w:rsid w:val="004140D1"/>
    <w:rsid w:val="00414372"/>
    <w:rsid w:val="00414681"/>
    <w:rsid w:val="004147FE"/>
    <w:rsid w:val="00414CA0"/>
    <w:rsid w:val="00414FB3"/>
    <w:rsid w:val="004150A2"/>
    <w:rsid w:val="00415119"/>
    <w:rsid w:val="00415400"/>
    <w:rsid w:val="0041582E"/>
    <w:rsid w:val="0041593F"/>
    <w:rsid w:val="00415A44"/>
    <w:rsid w:val="00415F3F"/>
    <w:rsid w:val="00416001"/>
    <w:rsid w:val="00416470"/>
    <w:rsid w:val="00416C75"/>
    <w:rsid w:val="00417042"/>
    <w:rsid w:val="004175D9"/>
    <w:rsid w:val="0041761D"/>
    <w:rsid w:val="00417782"/>
    <w:rsid w:val="00417A14"/>
    <w:rsid w:val="00417B54"/>
    <w:rsid w:val="00417C59"/>
    <w:rsid w:val="00417D0F"/>
    <w:rsid w:val="00417E17"/>
    <w:rsid w:val="00417ED7"/>
    <w:rsid w:val="0042038A"/>
    <w:rsid w:val="0042062D"/>
    <w:rsid w:val="0042070F"/>
    <w:rsid w:val="004207A5"/>
    <w:rsid w:val="00420906"/>
    <w:rsid w:val="00420BDC"/>
    <w:rsid w:val="004210E6"/>
    <w:rsid w:val="00421342"/>
    <w:rsid w:val="004218B7"/>
    <w:rsid w:val="00421A87"/>
    <w:rsid w:val="00421B10"/>
    <w:rsid w:val="00421BA2"/>
    <w:rsid w:val="00421D40"/>
    <w:rsid w:val="00422068"/>
    <w:rsid w:val="004222FD"/>
    <w:rsid w:val="00422551"/>
    <w:rsid w:val="0042282F"/>
    <w:rsid w:val="00422855"/>
    <w:rsid w:val="004228A5"/>
    <w:rsid w:val="00423029"/>
    <w:rsid w:val="00423337"/>
    <w:rsid w:val="0042335F"/>
    <w:rsid w:val="00423632"/>
    <w:rsid w:val="004237FA"/>
    <w:rsid w:val="004239C8"/>
    <w:rsid w:val="00423F15"/>
    <w:rsid w:val="004241DF"/>
    <w:rsid w:val="00424287"/>
    <w:rsid w:val="004242AB"/>
    <w:rsid w:val="004242B3"/>
    <w:rsid w:val="00424578"/>
    <w:rsid w:val="004246A9"/>
    <w:rsid w:val="00424A9F"/>
    <w:rsid w:val="004250CD"/>
    <w:rsid w:val="004250F2"/>
    <w:rsid w:val="0042510A"/>
    <w:rsid w:val="00425535"/>
    <w:rsid w:val="00425638"/>
    <w:rsid w:val="004256F4"/>
    <w:rsid w:val="0042575B"/>
    <w:rsid w:val="00425939"/>
    <w:rsid w:val="0042637A"/>
    <w:rsid w:val="00426943"/>
    <w:rsid w:val="004269D2"/>
    <w:rsid w:val="00426ABF"/>
    <w:rsid w:val="00427269"/>
    <w:rsid w:val="00427294"/>
    <w:rsid w:val="004274CE"/>
    <w:rsid w:val="00427643"/>
    <w:rsid w:val="0042790B"/>
    <w:rsid w:val="00430243"/>
    <w:rsid w:val="00430257"/>
    <w:rsid w:val="00430355"/>
    <w:rsid w:val="00430533"/>
    <w:rsid w:val="0043065E"/>
    <w:rsid w:val="00430AF5"/>
    <w:rsid w:val="00430CE1"/>
    <w:rsid w:val="00431481"/>
    <w:rsid w:val="00431527"/>
    <w:rsid w:val="00431742"/>
    <w:rsid w:val="0043177D"/>
    <w:rsid w:val="00431826"/>
    <w:rsid w:val="00431970"/>
    <w:rsid w:val="00431AC1"/>
    <w:rsid w:val="00431D08"/>
    <w:rsid w:val="004322BE"/>
    <w:rsid w:val="00432608"/>
    <w:rsid w:val="004326DA"/>
    <w:rsid w:val="0043360B"/>
    <w:rsid w:val="004338DC"/>
    <w:rsid w:val="00433ADB"/>
    <w:rsid w:val="00433CF0"/>
    <w:rsid w:val="00433FE4"/>
    <w:rsid w:val="00434534"/>
    <w:rsid w:val="00434D41"/>
    <w:rsid w:val="00434D81"/>
    <w:rsid w:val="0043508A"/>
    <w:rsid w:val="00435090"/>
    <w:rsid w:val="00435281"/>
    <w:rsid w:val="0043550A"/>
    <w:rsid w:val="004356B4"/>
    <w:rsid w:val="00435BE8"/>
    <w:rsid w:val="00435C2F"/>
    <w:rsid w:val="00435FBC"/>
    <w:rsid w:val="00436129"/>
    <w:rsid w:val="00436333"/>
    <w:rsid w:val="004363C1"/>
    <w:rsid w:val="004364A5"/>
    <w:rsid w:val="004365C3"/>
    <w:rsid w:val="0043665A"/>
    <w:rsid w:val="0043691D"/>
    <w:rsid w:val="00436EAF"/>
    <w:rsid w:val="0043722E"/>
    <w:rsid w:val="00437554"/>
    <w:rsid w:val="00437D7C"/>
    <w:rsid w:val="00440250"/>
    <w:rsid w:val="0044032A"/>
    <w:rsid w:val="004405C6"/>
    <w:rsid w:val="00440944"/>
    <w:rsid w:val="00440989"/>
    <w:rsid w:val="00440A13"/>
    <w:rsid w:val="00440B09"/>
    <w:rsid w:val="00440DFD"/>
    <w:rsid w:val="00440E85"/>
    <w:rsid w:val="00440FE6"/>
    <w:rsid w:val="00441006"/>
    <w:rsid w:val="00441574"/>
    <w:rsid w:val="004418A1"/>
    <w:rsid w:val="00441E61"/>
    <w:rsid w:val="0044233D"/>
    <w:rsid w:val="00442A30"/>
    <w:rsid w:val="00442C26"/>
    <w:rsid w:val="00442E63"/>
    <w:rsid w:val="00443AB7"/>
    <w:rsid w:val="00443E63"/>
    <w:rsid w:val="00443F80"/>
    <w:rsid w:val="0044401C"/>
    <w:rsid w:val="00444315"/>
    <w:rsid w:val="0044447F"/>
    <w:rsid w:val="00444984"/>
    <w:rsid w:val="00444DD3"/>
    <w:rsid w:val="00444E5D"/>
    <w:rsid w:val="00445158"/>
    <w:rsid w:val="00445241"/>
    <w:rsid w:val="0044561C"/>
    <w:rsid w:val="00445719"/>
    <w:rsid w:val="0044590E"/>
    <w:rsid w:val="00445CAF"/>
    <w:rsid w:val="00445E9E"/>
    <w:rsid w:val="0044600D"/>
    <w:rsid w:val="00446443"/>
    <w:rsid w:val="00446875"/>
    <w:rsid w:val="00446AA1"/>
    <w:rsid w:val="00446B99"/>
    <w:rsid w:val="00446F4A"/>
    <w:rsid w:val="004470EB"/>
    <w:rsid w:val="004474B2"/>
    <w:rsid w:val="00447784"/>
    <w:rsid w:val="00447DEF"/>
    <w:rsid w:val="00447FED"/>
    <w:rsid w:val="004500A9"/>
    <w:rsid w:val="004501DB"/>
    <w:rsid w:val="004504CF"/>
    <w:rsid w:val="0045057C"/>
    <w:rsid w:val="00450630"/>
    <w:rsid w:val="0045092C"/>
    <w:rsid w:val="0045098C"/>
    <w:rsid w:val="00450ED6"/>
    <w:rsid w:val="00451047"/>
    <w:rsid w:val="00451117"/>
    <w:rsid w:val="00451158"/>
    <w:rsid w:val="00451902"/>
    <w:rsid w:val="00451919"/>
    <w:rsid w:val="00451B6A"/>
    <w:rsid w:val="00452741"/>
    <w:rsid w:val="00452B6F"/>
    <w:rsid w:val="00452B95"/>
    <w:rsid w:val="00452DA2"/>
    <w:rsid w:val="00452DF8"/>
    <w:rsid w:val="0045328A"/>
    <w:rsid w:val="004532CB"/>
    <w:rsid w:val="00453453"/>
    <w:rsid w:val="00453B10"/>
    <w:rsid w:val="00453D58"/>
    <w:rsid w:val="00453D8B"/>
    <w:rsid w:val="00454323"/>
    <w:rsid w:val="00454379"/>
    <w:rsid w:val="004545E1"/>
    <w:rsid w:val="00454808"/>
    <w:rsid w:val="0045499C"/>
    <w:rsid w:val="004549CC"/>
    <w:rsid w:val="00454B09"/>
    <w:rsid w:val="00454E8D"/>
    <w:rsid w:val="00454F3D"/>
    <w:rsid w:val="0045505E"/>
    <w:rsid w:val="0045567A"/>
    <w:rsid w:val="004557EB"/>
    <w:rsid w:val="00455BA5"/>
    <w:rsid w:val="00456333"/>
    <w:rsid w:val="00456367"/>
    <w:rsid w:val="0045650D"/>
    <w:rsid w:val="00456552"/>
    <w:rsid w:val="00456A3B"/>
    <w:rsid w:val="00456A52"/>
    <w:rsid w:val="00456C5C"/>
    <w:rsid w:val="00456FD0"/>
    <w:rsid w:val="00457089"/>
    <w:rsid w:val="004575F5"/>
    <w:rsid w:val="00457F70"/>
    <w:rsid w:val="004603BD"/>
    <w:rsid w:val="004607EF"/>
    <w:rsid w:val="00460CC5"/>
    <w:rsid w:val="00460D3A"/>
    <w:rsid w:val="00460EC4"/>
    <w:rsid w:val="00461365"/>
    <w:rsid w:val="00461554"/>
    <w:rsid w:val="004615C7"/>
    <w:rsid w:val="00461A0B"/>
    <w:rsid w:val="00461FBA"/>
    <w:rsid w:val="004621E0"/>
    <w:rsid w:val="0046229F"/>
    <w:rsid w:val="00462340"/>
    <w:rsid w:val="00462633"/>
    <w:rsid w:val="00462AA9"/>
    <w:rsid w:val="00462CCC"/>
    <w:rsid w:val="00462F50"/>
    <w:rsid w:val="00462F6D"/>
    <w:rsid w:val="00463604"/>
    <w:rsid w:val="00463A9D"/>
    <w:rsid w:val="00463C93"/>
    <w:rsid w:val="004644D4"/>
    <w:rsid w:val="004647C5"/>
    <w:rsid w:val="00464B6F"/>
    <w:rsid w:val="00464F0A"/>
    <w:rsid w:val="00464FDE"/>
    <w:rsid w:val="00465086"/>
    <w:rsid w:val="0046549B"/>
    <w:rsid w:val="00465B78"/>
    <w:rsid w:val="0046633E"/>
    <w:rsid w:val="00466786"/>
    <w:rsid w:val="004667BA"/>
    <w:rsid w:val="004668D4"/>
    <w:rsid w:val="00466CB6"/>
    <w:rsid w:val="00466F62"/>
    <w:rsid w:val="0046762A"/>
    <w:rsid w:val="00467A75"/>
    <w:rsid w:val="00467B67"/>
    <w:rsid w:val="00467DD2"/>
    <w:rsid w:val="004701A5"/>
    <w:rsid w:val="00470B72"/>
    <w:rsid w:val="00470DF3"/>
    <w:rsid w:val="004711DD"/>
    <w:rsid w:val="0047137A"/>
    <w:rsid w:val="004714CC"/>
    <w:rsid w:val="004719DD"/>
    <w:rsid w:val="00471BF5"/>
    <w:rsid w:val="00471CDE"/>
    <w:rsid w:val="00471CE8"/>
    <w:rsid w:val="00471E70"/>
    <w:rsid w:val="00472478"/>
    <w:rsid w:val="00472501"/>
    <w:rsid w:val="0047264A"/>
    <w:rsid w:val="004727DA"/>
    <w:rsid w:val="00472CF9"/>
    <w:rsid w:val="0047364D"/>
    <w:rsid w:val="00473A40"/>
    <w:rsid w:val="004744FC"/>
    <w:rsid w:val="0047459C"/>
    <w:rsid w:val="00474696"/>
    <w:rsid w:val="00475391"/>
    <w:rsid w:val="004758B6"/>
    <w:rsid w:val="0047597B"/>
    <w:rsid w:val="004759DD"/>
    <w:rsid w:val="00475D1D"/>
    <w:rsid w:val="00475FBD"/>
    <w:rsid w:val="00476378"/>
    <w:rsid w:val="00476483"/>
    <w:rsid w:val="0047698A"/>
    <w:rsid w:val="00476A45"/>
    <w:rsid w:val="00476C92"/>
    <w:rsid w:val="004772B0"/>
    <w:rsid w:val="004774D4"/>
    <w:rsid w:val="00477584"/>
    <w:rsid w:val="004775FF"/>
    <w:rsid w:val="00477792"/>
    <w:rsid w:val="0047781C"/>
    <w:rsid w:val="00477BF0"/>
    <w:rsid w:val="00477E51"/>
    <w:rsid w:val="00477FBC"/>
    <w:rsid w:val="004802F8"/>
    <w:rsid w:val="004807E2"/>
    <w:rsid w:val="00480A06"/>
    <w:rsid w:val="00481134"/>
    <w:rsid w:val="00481262"/>
    <w:rsid w:val="00481330"/>
    <w:rsid w:val="004816C0"/>
    <w:rsid w:val="0048180E"/>
    <w:rsid w:val="00482154"/>
    <w:rsid w:val="0048249D"/>
    <w:rsid w:val="00482613"/>
    <w:rsid w:val="00482772"/>
    <w:rsid w:val="00482DFF"/>
    <w:rsid w:val="00482E4D"/>
    <w:rsid w:val="004831C1"/>
    <w:rsid w:val="00483490"/>
    <w:rsid w:val="00483571"/>
    <w:rsid w:val="0048374B"/>
    <w:rsid w:val="00483915"/>
    <w:rsid w:val="00483961"/>
    <w:rsid w:val="00483F51"/>
    <w:rsid w:val="004843F7"/>
    <w:rsid w:val="00484689"/>
    <w:rsid w:val="00484E9D"/>
    <w:rsid w:val="00485404"/>
    <w:rsid w:val="004862F6"/>
    <w:rsid w:val="004864EE"/>
    <w:rsid w:val="00486F23"/>
    <w:rsid w:val="0048715D"/>
    <w:rsid w:val="00487573"/>
    <w:rsid w:val="00487988"/>
    <w:rsid w:val="004879C6"/>
    <w:rsid w:val="00487AE1"/>
    <w:rsid w:val="00487E2E"/>
    <w:rsid w:val="00487F06"/>
    <w:rsid w:val="0049074C"/>
    <w:rsid w:val="0049081D"/>
    <w:rsid w:val="00490EB3"/>
    <w:rsid w:val="00490F20"/>
    <w:rsid w:val="00491048"/>
    <w:rsid w:val="0049111E"/>
    <w:rsid w:val="004912C6"/>
    <w:rsid w:val="004913F4"/>
    <w:rsid w:val="004918EE"/>
    <w:rsid w:val="00491D6A"/>
    <w:rsid w:val="0049217B"/>
    <w:rsid w:val="00492723"/>
    <w:rsid w:val="0049285F"/>
    <w:rsid w:val="00493194"/>
    <w:rsid w:val="004934EC"/>
    <w:rsid w:val="004939A5"/>
    <w:rsid w:val="00493CC0"/>
    <w:rsid w:val="00493ED5"/>
    <w:rsid w:val="00493F16"/>
    <w:rsid w:val="00494E3E"/>
    <w:rsid w:val="00495096"/>
    <w:rsid w:val="004950AA"/>
    <w:rsid w:val="0049519F"/>
    <w:rsid w:val="004956D7"/>
    <w:rsid w:val="00495B44"/>
    <w:rsid w:val="00495C1C"/>
    <w:rsid w:val="00495D22"/>
    <w:rsid w:val="00495F71"/>
    <w:rsid w:val="00495F9C"/>
    <w:rsid w:val="0049612C"/>
    <w:rsid w:val="0049615B"/>
    <w:rsid w:val="0049637D"/>
    <w:rsid w:val="0049655C"/>
    <w:rsid w:val="00496565"/>
    <w:rsid w:val="004968CD"/>
    <w:rsid w:val="00496E06"/>
    <w:rsid w:val="0049710A"/>
    <w:rsid w:val="00497412"/>
    <w:rsid w:val="0049745F"/>
    <w:rsid w:val="0049750F"/>
    <w:rsid w:val="0049796D"/>
    <w:rsid w:val="00497ACB"/>
    <w:rsid w:val="00497C9A"/>
    <w:rsid w:val="00497D03"/>
    <w:rsid w:val="00497DE6"/>
    <w:rsid w:val="004A05B7"/>
    <w:rsid w:val="004A0779"/>
    <w:rsid w:val="004A0963"/>
    <w:rsid w:val="004A0E0D"/>
    <w:rsid w:val="004A0EBF"/>
    <w:rsid w:val="004A0ED2"/>
    <w:rsid w:val="004A10FE"/>
    <w:rsid w:val="004A12B6"/>
    <w:rsid w:val="004A1558"/>
    <w:rsid w:val="004A156D"/>
    <w:rsid w:val="004A163C"/>
    <w:rsid w:val="004A1844"/>
    <w:rsid w:val="004A1EC6"/>
    <w:rsid w:val="004A2034"/>
    <w:rsid w:val="004A2199"/>
    <w:rsid w:val="004A2585"/>
    <w:rsid w:val="004A2E93"/>
    <w:rsid w:val="004A3A37"/>
    <w:rsid w:val="004A3A84"/>
    <w:rsid w:val="004A3B54"/>
    <w:rsid w:val="004A3C4A"/>
    <w:rsid w:val="004A3D12"/>
    <w:rsid w:val="004A3D48"/>
    <w:rsid w:val="004A3DFC"/>
    <w:rsid w:val="004A3F8E"/>
    <w:rsid w:val="004A40B8"/>
    <w:rsid w:val="004A42B7"/>
    <w:rsid w:val="004A4744"/>
    <w:rsid w:val="004A5599"/>
    <w:rsid w:val="004A5606"/>
    <w:rsid w:val="004A597F"/>
    <w:rsid w:val="004A6602"/>
    <w:rsid w:val="004A6848"/>
    <w:rsid w:val="004A6B2A"/>
    <w:rsid w:val="004A70A4"/>
    <w:rsid w:val="004A76F3"/>
    <w:rsid w:val="004A793F"/>
    <w:rsid w:val="004A7C6D"/>
    <w:rsid w:val="004A7F9F"/>
    <w:rsid w:val="004B0609"/>
    <w:rsid w:val="004B08C6"/>
    <w:rsid w:val="004B08DA"/>
    <w:rsid w:val="004B0E88"/>
    <w:rsid w:val="004B0F85"/>
    <w:rsid w:val="004B142D"/>
    <w:rsid w:val="004B1989"/>
    <w:rsid w:val="004B1B4B"/>
    <w:rsid w:val="004B1B74"/>
    <w:rsid w:val="004B1F21"/>
    <w:rsid w:val="004B20A4"/>
    <w:rsid w:val="004B21BC"/>
    <w:rsid w:val="004B24C2"/>
    <w:rsid w:val="004B25FD"/>
    <w:rsid w:val="004B343F"/>
    <w:rsid w:val="004B3469"/>
    <w:rsid w:val="004B351B"/>
    <w:rsid w:val="004B374F"/>
    <w:rsid w:val="004B3A3A"/>
    <w:rsid w:val="004B3CB8"/>
    <w:rsid w:val="004B3E94"/>
    <w:rsid w:val="004B410F"/>
    <w:rsid w:val="004B4191"/>
    <w:rsid w:val="004B4252"/>
    <w:rsid w:val="004B44BC"/>
    <w:rsid w:val="004B4C98"/>
    <w:rsid w:val="004B4E4C"/>
    <w:rsid w:val="004B4E6D"/>
    <w:rsid w:val="004B4EEC"/>
    <w:rsid w:val="004B4F3C"/>
    <w:rsid w:val="004B5421"/>
    <w:rsid w:val="004B56C8"/>
    <w:rsid w:val="004B5B28"/>
    <w:rsid w:val="004B5BFA"/>
    <w:rsid w:val="004B5C16"/>
    <w:rsid w:val="004B5D07"/>
    <w:rsid w:val="004B613A"/>
    <w:rsid w:val="004B66F4"/>
    <w:rsid w:val="004B6BF0"/>
    <w:rsid w:val="004B6C16"/>
    <w:rsid w:val="004B6F60"/>
    <w:rsid w:val="004B758B"/>
    <w:rsid w:val="004B78F0"/>
    <w:rsid w:val="004B7DD9"/>
    <w:rsid w:val="004B7E98"/>
    <w:rsid w:val="004B7EC2"/>
    <w:rsid w:val="004B7F1E"/>
    <w:rsid w:val="004C001C"/>
    <w:rsid w:val="004C03AD"/>
    <w:rsid w:val="004C0771"/>
    <w:rsid w:val="004C0DAB"/>
    <w:rsid w:val="004C1563"/>
    <w:rsid w:val="004C17BE"/>
    <w:rsid w:val="004C1A1B"/>
    <w:rsid w:val="004C1BD4"/>
    <w:rsid w:val="004C1F6B"/>
    <w:rsid w:val="004C22A5"/>
    <w:rsid w:val="004C2D41"/>
    <w:rsid w:val="004C310F"/>
    <w:rsid w:val="004C3128"/>
    <w:rsid w:val="004C32C5"/>
    <w:rsid w:val="004C35EC"/>
    <w:rsid w:val="004C3623"/>
    <w:rsid w:val="004C3851"/>
    <w:rsid w:val="004C3E88"/>
    <w:rsid w:val="004C3EFE"/>
    <w:rsid w:val="004C4149"/>
    <w:rsid w:val="004C42C8"/>
    <w:rsid w:val="004C4FB2"/>
    <w:rsid w:val="004C51C6"/>
    <w:rsid w:val="004C526F"/>
    <w:rsid w:val="004C544D"/>
    <w:rsid w:val="004C56BB"/>
    <w:rsid w:val="004C5957"/>
    <w:rsid w:val="004C5EAD"/>
    <w:rsid w:val="004C60BD"/>
    <w:rsid w:val="004C60E9"/>
    <w:rsid w:val="004C6701"/>
    <w:rsid w:val="004C6755"/>
    <w:rsid w:val="004C6CE8"/>
    <w:rsid w:val="004C6EDE"/>
    <w:rsid w:val="004C7128"/>
    <w:rsid w:val="004C7252"/>
    <w:rsid w:val="004C75AF"/>
    <w:rsid w:val="004C7B2A"/>
    <w:rsid w:val="004D0551"/>
    <w:rsid w:val="004D080B"/>
    <w:rsid w:val="004D0BCB"/>
    <w:rsid w:val="004D0C41"/>
    <w:rsid w:val="004D0F37"/>
    <w:rsid w:val="004D16D5"/>
    <w:rsid w:val="004D1911"/>
    <w:rsid w:val="004D199D"/>
    <w:rsid w:val="004D1E13"/>
    <w:rsid w:val="004D2DB7"/>
    <w:rsid w:val="004D317D"/>
    <w:rsid w:val="004D34EC"/>
    <w:rsid w:val="004D3B37"/>
    <w:rsid w:val="004D3B77"/>
    <w:rsid w:val="004D3BB1"/>
    <w:rsid w:val="004D3C60"/>
    <w:rsid w:val="004D3D64"/>
    <w:rsid w:val="004D4199"/>
    <w:rsid w:val="004D470E"/>
    <w:rsid w:val="004D4792"/>
    <w:rsid w:val="004D493C"/>
    <w:rsid w:val="004D4A5D"/>
    <w:rsid w:val="004D4BEC"/>
    <w:rsid w:val="004D4C8A"/>
    <w:rsid w:val="004D5236"/>
    <w:rsid w:val="004D5367"/>
    <w:rsid w:val="004D555E"/>
    <w:rsid w:val="004D55AB"/>
    <w:rsid w:val="004D5600"/>
    <w:rsid w:val="004D56D1"/>
    <w:rsid w:val="004D5F40"/>
    <w:rsid w:val="004D61C5"/>
    <w:rsid w:val="004D624E"/>
    <w:rsid w:val="004D6712"/>
    <w:rsid w:val="004D6760"/>
    <w:rsid w:val="004D6AC6"/>
    <w:rsid w:val="004D6C34"/>
    <w:rsid w:val="004D747F"/>
    <w:rsid w:val="004D755A"/>
    <w:rsid w:val="004D77FE"/>
    <w:rsid w:val="004D7B60"/>
    <w:rsid w:val="004D7C8E"/>
    <w:rsid w:val="004D7CD7"/>
    <w:rsid w:val="004D7E14"/>
    <w:rsid w:val="004E044B"/>
    <w:rsid w:val="004E08E1"/>
    <w:rsid w:val="004E0F9C"/>
    <w:rsid w:val="004E106F"/>
    <w:rsid w:val="004E10B9"/>
    <w:rsid w:val="004E111C"/>
    <w:rsid w:val="004E1218"/>
    <w:rsid w:val="004E166C"/>
    <w:rsid w:val="004E1795"/>
    <w:rsid w:val="004E18F5"/>
    <w:rsid w:val="004E195C"/>
    <w:rsid w:val="004E1F4D"/>
    <w:rsid w:val="004E202A"/>
    <w:rsid w:val="004E2321"/>
    <w:rsid w:val="004E2679"/>
    <w:rsid w:val="004E2688"/>
    <w:rsid w:val="004E2700"/>
    <w:rsid w:val="004E27ED"/>
    <w:rsid w:val="004E2866"/>
    <w:rsid w:val="004E2ACE"/>
    <w:rsid w:val="004E2CC7"/>
    <w:rsid w:val="004E2E40"/>
    <w:rsid w:val="004E33A9"/>
    <w:rsid w:val="004E33B2"/>
    <w:rsid w:val="004E37F6"/>
    <w:rsid w:val="004E389C"/>
    <w:rsid w:val="004E3B14"/>
    <w:rsid w:val="004E3BFB"/>
    <w:rsid w:val="004E3CFE"/>
    <w:rsid w:val="004E3E60"/>
    <w:rsid w:val="004E468B"/>
    <w:rsid w:val="004E47B2"/>
    <w:rsid w:val="004E47E8"/>
    <w:rsid w:val="004E4A96"/>
    <w:rsid w:val="004E4E02"/>
    <w:rsid w:val="004E4E4B"/>
    <w:rsid w:val="004E5305"/>
    <w:rsid w:val="004E5A18"/>
    <w:rsid w:val="004E5C46"/>
    <w:rsid w:val="004E6270"/>
    <w:rsid w:val="004E62B4"/>
    <w:rsid w:val="004E6A37"/>
    <w:rsid w:val="004E6AB3"/>
    <w:rsid w:val="004E6E63"/>
    <w:rsid w:val="004E6E96"/>
    <w:rsid w:val="004E71C8"/>
    <w:rsid w:val="004E7215"/>
    <w:rsid w:val="004E75FD"/>
    <w:rsid w:val="004E799C"/>
    <w:rsid w:val="004E7ACB"/>
    <w:rsid w:val="004E7C42"/>
    <w:rsid w:val="004E7C55"/>
    <w:rsid w:val="004E7F10"/>
    <w:rsid w:val="004F01D5"/>
    <w:rsid w:val="004F088F"/>
    <w:rsid w:val="004F0AC1"/>
    <w:rsid w:val="004F0BB7"/>
    <w:rsid w:val="004F0CFA"/>
    <w:rsid w:val="004F0F4B"/>
    <w:rsid w:val="004F152C"/>
    <w:rsid w:val="004F2478"/>
    <w:rsid w:val="004F257F"/>
    <w:rsid w:val="004F2AD4"/>
    <w:rsid w:val="004F2AF9"/>
    <w:rsid w:val="004F2BA9"/>
    <w:rsid w:val="004F2E72"/>
    <w:rsid w:val="004F2F61"/>
    <w:rsid w:val="004F30AB"/>
    <w:rsid w:val="004F36F0"/>
    <w:rsid w:val="004F37A6"/>
    <w:rsid w:val="004F3A27"/>
    <w:rsid w:val="004F3EA4"/>
    <w:rsid w:val="004F44C7"/>
    <w:rsid w:val="004F4550"/>
    <w:rsid w:val="004F4E70"/>
    <w:rsid w:val="004F502A"/>
    <w:rsid w:val="004F58CA"/>
    <w:rsid w:val="004F5A1D"/>
    <w:rsid w:val="004F5DF0"/>
    <w:rsid w:val="004F5E4E"/>
    <w:rsid w:val="004F6062"/>
    <w:rsid w:val="004F60A1"/>
    <w:rsid w:val="004F64A7"/>
    <w:rsid w:val="004F6646"/>
    <w:rsid w:val="004F66FB"/>
    <w:rsid w:val="004F6AFC"/>
    <w:rsid w:val="004F6C17"/>
    <w:rsid w:val="004F6F47"/>
    <w:rsid w:val="004F707E"/>
    <w:rsid w:val="004F7093"/>
    <w:rsid w:val="004F7103"/>
    <w:rsid w:val="004F7271"/>
    <w:rsid w:val="004F72C1"/>
    <w:rsid w:val="004F739A"/>
    <w:rsid w:val="004F7468"/>
    <w:rsid w:val="004F7683"/>
    <w:rsid w:val="004F7823"/>
    <w:rsid w:val="004F7906"/>
    <w:rsid w:val="004F7BAE"/>
    <w:rsid w:val="00500120"/>
    <w:rsid w:val="005003F5"/>
    <w:rsid w:val="00500407"/>
    <w:rsid w:val="00500BA7"/>
    <w:rsid w:val="00500D93"/>
    <w:rsid w:val="00500DE9"/>
    <w:rsid w:val="00500FBC"/>
    <w:rsid w:val="00501185"/>
    <w:rsid w:val="0050163A"/>
    <w:rsid w:val="0050182D"/>
    <w:rsid w:val="005018E7"/>
    <w:rsid w:val="00501BDC"/>
    <w:rsid w:val="00501DEA"/>
    <w:rsid w:val="00502006"/>
    <w:rsid w:val="00502120"/>
    <w:rsid w:val="00502124"/>
    <w:rsid w:val="00502176"/>
    <w:rsid w:val="00502322"/>
    <w:rsid w:val="0050253A"/>
    <w:rsid w:val="005025FF"/>
    <w:rsid w:val="0050275D"/>
    <w:rsid w:val="0050287E"/>
    <w:rsid w:val="00502D6E"/>
    <w:rsid w:val="0050305B"/>
    <w:rsid w:val="0050310C"/>
    <w:rsid w:val="005032D4"/>
    <w:rsid w:val="00503628"/>
    <w:rsid w:val="005038B2"/>
    <w:rsid w:val="00503A20"/>
    <w:rsid w:val="00503AB0"/>
    <w:rsid w:val="00503B55"/>
    <w:rsid w:val="00503CC3"/>
    <w:rsid w:val="00503DB8"/>
    <w:rsid w:val="0050400A"/>
    <w:rsid w:val="00504179"/>
    <w:rsid w:val="005047F4"/>
    <w:rsid w:val="005048F6"/>
    <w:rsid w:val="00504E54"/>
    <w:rsid w:val="005051F2"/>
    <w:rsid w:val="0050553C"/>
    <w:rsid w:val="005058B3"/>
    <w:rsid w:val="00505A64"/>
    <w:rsid w:val="00505CAD"/>
    <w:rsid w:val="00505F66"/>
    <w:rsid w:val="0050667E"/>
    <w:rsid w:val="0050672F"/>
    <w:rsid w:val="005069D4"/>
    <w:rsid w:val="00506D98"/>
    <w:rsid w:val="00506E43"/>
    <w:rsid w:val="0050703F"/>
    <w:rsid w:val="00507418"/>
    <w:rsid w:val="00507520"/>
    <w:rsid w:val="0050777F"/>
    <w:rsid w:val="00507A6B"/>
    <w:rsid w:val="00507FB8"/>
    <w:rsid w:val="00507FE1"/>
    <w:rsid w:val="00510215"/>
    <w:rsid w:val="005102DC"/>
    <w:rsid w:val="005103F1"/>
    <w:rsid w:val="00510427"/>
    <w:rsid w:val="0051061C"/>
    <w:rsid w:val="005106A9"/>
    <w:rsid w:val="005108D1"/>
    <w:rsid w:val="005109A8"/>
    <w:rsid w:val="00510AE2"/>
    <w:rsid w:val="00510B9D"/>
    <w:rsid w:val="00510E58"/>
    <w:rsid w:val="0051109E"/>
    <w:rsid w:val="0051132D"/>
    <w:rsid w:val="00511815"/>
    <w:rsid w:val="0051194A"/>
    <w:rsid w:val="00511994"/>
    <w:rsid w:val="00511D39"/>
    <w:rsid w:val="0051272F"/>
    <w:rsid w:val="005128A4"/>
    <w:rsid w:val="0051307E"/>
    <w:rsid w:val="005130F3"/>
    <w:rsid w:val="00513293"/>
    <w:rsid w:val="0051445E"/>
    <w:rsid w:val="00514607"/>
    <w:rsid w:val="0051487C"/>
    <w:rsid w:val="005148D9"/>
    <w:rsid w:val="00514950"/>
    <w:rsid w:val="00515284"/>
    <w:rsid w:val="00515288"/>
    <w:rsid w:val="005152D5"/>
    <w:rsid w:val="005157C1"/>
    <w:rsid w:val="00515FE7"/>
    <w:rsid w:val="00516026"/>
    <w:rsid w:val="00516267"/>
    <w:rsid w:val="0051636C"/>
    <w:rsid w:val="00516406"/>
    <w:rsid w:val="0051666B"/>
    <w:rsid w:val="005169BE"/>
    <w:rsid w:val="00516C7B"/>
    <w:rsid w:val="00516DB1"/>
    <w:rsid w:val="00516ECB"/>
    <w:rsid w:val="00516EF3"/>
    <w:rsid w:val="00516F3E"/>
    <w:rsid w:val="0051733B"/>
    <w:rsid w:val="00517448"/>
    <w:rsid w:val="0051752C"/>
    <w:rsid w:val="00517A5A"/>
    <w:rsid w:val="00520234"/>
    <w:rsid w:val="005206CA"/>
    <w:rsid w:val="005206ED"/>
    <w:rsid w:val="00520825"/>
    <w:rsid w:val="00520826"/>
    <w:rsid w:val="00520991"/>
    <w:rsid w:val="00520A12"/>
    <w:rsid w:val="00520B97"/>
    <w:rsid w:val="00520BC7"/>
    <w:rsid w:val="00520C4F"/>
    <w:rsid w:val="00520CD7"/>
    <w:rsid w:val="00520D65"/>
    <w:rsid w:val="00520E3D"/>
    <w:rsid w:val="00520F06"/>
    <w:rsid w:val="00521211"/>
    <w:rsid w:val="00521318"/>
    <w:rsid w:val="00521F88"/>
    <w:rsid w:val="0052201F"/>
    <w:rsid w:val="0052220B"/>
    <w:rsid w:val="00522243"/>
    <w:rsid w:val="005222BC"/>
    <w:rsid w:val="0052254E"/>
    <w:rsid w:val="0052274D"/>
    <w:rsid w:val="00522E9F"/>
    <w:rsid w:val="00522F20"/>
    <w:rsid w:val="0052318F"/>
    <w:rsid w:val="00523369"/>
    <w:rsid w:val="00523443"/>
    <w:rsid w:val="00523531"/>
    <w:rsid w:val="00523829"/>
    <w:rsid w:val="00523A13"/>
    <w:rsid w:val="005242AE"/>
    <w:rsid w:val="00524861"/>
    <w:rsid w:val="00524864"/>
    <w:rsid w:val="005248C7"/>
    <w:rsid w:val="00524993"/>
    <w:rsid w:val="00524A45"/>
    <w:rsid w:val="00524AEB"/>
    <w:rsid w:val="00524E0F"/>
    <w:rsid w:val="00524E53"/>
    <w:rsid w:val="00524EA6"/>
    <w:rsid w:val="0052506A"/>
    <w:rsid w:val="0052513A"/>
    <w:rsid w:val="005251F9"/>
    <w:rsid w:val="0052542B"/>
    <w:rsid w:val="00525585"/>
    <w:rsid w:val="00525BD4"/>
    <w:rsid w:val="005260E4"/>
    <w:rsid w:val="00526358"/>
    <w:rsid w:val="00526472"/>
    <w:rsid w:val="00526860"/>
    <w:rsid w:val="00526B20"/>
    <w:rsid w:val="00526EE8"/>
    <w:rsid w:val="00526F28"/>
    <w:rsid w:val="00526F84"/>
    <w:rsid w:val="00526F91"/>
    <w:rsid w:val="00527010"/>
    <w:rsid w:val="0052712E"/>
    <w:rsid w:val="005276B5"/>
    <w:rsid w:val="00527808"/>
    <w:rsid w:val="00527EBD"/>
    <w:rsid w:val="00527F20"/>
    <w:rsid w:val="005301B6"/>
    <w:rsid w:val="005302D4"/>
    <w:rsid w:val="00530397"/>
    <w:rsid w:val="00530580"/>
    <w:rsid w:val="0053097C"/>
    <w:rsid w:val="00530D40"/>
    <w:rsid w:val="00530D97"/>
    <w:rsid w:val="005313B0"/>
    <w:rsid w:val="00531673"/>
    <w:rsid w:val="005316B9"/>
    <w:rsid w:val="00531708"/>
    <w:rsid w:val="00531741"/>
    <w:rsid w:val="005318E3"/>
    <w:rsid w:val="0053195F"/>
    <w:rsid w:val="00531A8E"/>
    <w:rsid w:val="00531D04"/>
    <w:rsid w:val="00531D30"/>
    <w:rsid w:val="00531E2F"/>
    <w:rsid w:val="005322E6"/>
    <w:rsid w:val="005324A4"/>
    <w:rsid w:val="00532692"/>
    <w:rsid w:val="0053279C"/>
    <w:rsid w:val="00532EFE"/>
    <w:rsid w:val="005337AD"/>
    <w:rsid w:val="00533B7B"/>
    <w:rsid w:val="00533C79"/>
    <w:rsid w:val="00534103"/>
    <w:rsid w:val="005343FE"/>
    <w:rsid w:val="00534408"/>
    <w:rsid w:val="0053442C"/>
    <w:rsid w:val="005344D4"/>
    <w:rsid w:val="005345CA"/>
    <w:rsid w:val="00534640"/>
    <w:rsid w:val="00534814"/>
    <w:rsid w:val="00534A45"/>
    <w:rsid w:val="00534E43"/>
    <w:rsid w:val="00534EB3"/>
    <w:rsid w:val="005351C1"/>
    <w:rsid w:val="00535594"/>
    <w:rsid w:val="005357D6"/>
    <w:rsid w:val="00535830"/>
    <w:rsid w:val="00535CC1"/>
    <w:rsid w:val="00535E54"/>
    <w:rsid w:val="005360B1"/>
    <w:rsid w:val="005363A4"/>
    <w:rsid w:val="005365D7"/>
    <w:rsid w:val="00536642"/>
    <w:rsid w:val="0053666B"/>
    <w:rsid w:val="00536743"/>
    <w:rsid w:val="00536D3D"/>
    <w:rsid w:val="00537880"/>
    <w:rsid w:val="00537B3C"/>
    <w:rsid w:val="00537DCD"/>
    <w:rsid w:val="00537E55"/>
    <w:rsid w:val="00540168"/>
    <w:rsid w:val="0054031E"/>
    <w:rsid w:val="005404C6"/>
    <w:rsid w:val="00540609"/>
    <w:rsid w:val="00540F5B"/>
    <w:rsid w:val="005412F6"/>
    <w:rsid w:val="00541916"/>
    <w:rsid w:val="00541A7A"/>
    <w:rsid w:val="00541F75"/>
    <w:rsid w:val="005421EB"/>
    <w:rsid w:val="0054220F"/>
    <w:rsid w:val="00542374"/>
    <w:rsid w:val="0054241E"/>
    <w:rsid w:val="00542623"/>
    <w:rsid w:val="00542AD1"/>
    <w:rsid w:val="00542BE0"/>
    <w:rsid w:val="00542E0B"/>
    <w:rsid w:val="005430D5"/>
    <w:rsid w:val="00543204"/>
    <w:rsid w:val="005433F9"/>
    <w:rsid w:val="00543421"/>
    <w:rsid w:val="0054369E"/>
    <w:rsid w:val="00543991"/>
    <w:rsid w:val="00543A6B"/>
    <w:rsid w:val="00543D53"/>
    <w:rsid w:val="00543F92"/>
    <w:rsid w:val="005440B2"/>
    <w:rsid w:val="00544638"/>
    <w:rsid w:val="005447DF"/>
    <w:rsid w:val="005448FD"/>
    <w:rsid w:val="00544DC5"/>
    <w:rsid w:val="00544F96"/>
    <w:rsid w:val="0054506E"/>
    <w:rsid w:val="00545250"/>
    <w:rsid w:val="0054532C"/>
    <w:rsid w:val="005453BB"/>
    <w:rsid w:val="0054574C"/>
    <w:rsid w:val="00545809"/>
    <w:rsid w:val="00545937"/>
    <w:rsid w:val="00545A3D"/>
    <w:rsid w:val="00545D47"/>
    <w:rsid w:val="0054608D"/>
    <w:rsid w:val="00546179"/>
    <w:rsid w:val="00546327"/>
    <w:rsid w:val="00546598"/>
    <w:rsid w:val="005466C6"/>
    <w:rsid w:val="00546735"/>
    <w:rsid w:val="00546B44"/>
    <w:rsid w:val="00547414"/>
    <w:rsid w:val="0054744B"/>
    <w:rsid w:val="005475E2"/>
    <w:rsid w:val="00547A80"/>
    <w:rsid w:val="00547F03"/>
    <w:rsid w:val="005505DD"/>
    <w:rsid w:val="00550865"/>
    <w:rsid w:val="005508C9"/>
    <w:rsid w:val="00550F52"/>
    <w:rsid w:val="005510F8"/>
    <w:rsid w:val="0055133A"/>
    <w:rsid w:val="00551624"/>
    <w:rsid w:val="00551767"/>
    <w:rsid w:val="00551771"/>
    <w:rsid w:val="005526E8"/>
    <w:rsid w:val="00552828"/>
    <w:rsid w:val="00552878"/>
    <w:rsid w:val="00552A97"/>
    <w:rsid w:val="00552BE9"/>
    <w:rsid w:val="00552C64"/>
    <w:rsid w:val="00553976"/>
    <w:rsid w:val="00553C03"/>
    <w:rsid w:val="0055402D"/>
    <w:rsid w:val="00554491"/>
    <w:rsid w:val="00554681"/>
    <w:rsid w:val="0055469A"/>
    <w:rsid w:val="00554796"/>
    <w:rsid w:val="00554B91"/>
    <w:rsid w:val="00554BCD"/>
    <w:rsid w:val="00554D11"/>
    <w:rsid w:val="00554D1C"/>
    <w:rsid w:val="00554FA3"/>
    <w:rsid w:val="005551B7"/>
    <w:rsid w:val="0055563A"/>
    <w:rsid w:val="005557AA"/>
    <w:rsid w:val="0055590D"/>
    <w:rsid w:val="00555B44"/>
    <w:rsid w:val="00555D62"/>
    <w:rsid w:val="00555DA6"/>
    <w:rsid w:val="0055609B"/>
    <w:rsid w:val="00556238"/>
    <w:rsid w:val="0055625F"/>
    <w:rsid w:val="00556297"/>
    <w:rsid w:val="0055655C"/>
    <w:rsid w:val="00556668"/>
    <w:rsid w:val="0055669B"/>
    <w:rsid w:val="00556B7D"/>
    <w:rsid w:val="00556CF6"/>
    <w:rsid w:val="00556DC5"/>
    <w:rsid w:val="00556E6C"/>
    <w:rsid w:val="00556E9C"/>
    <w:rsid w:val="0055766F"/>
    <w:rsid w:val="005579DD"/>
    <w:rsid w:val="00557A50"/>
    <w:rsid w:val="00557B6E"/>
    <w:rsid w:val="00557C25"/>
    <w:rsid w:val="00557C2B"/>
    <w:rsid w:val="00557F7C"/>
    <w:rsid w:val="00557FA2"/>
    <w:rsid w:val="00560303"/>
    <w:rsid w:val="00560316"/>
    <w:rsid w:val="0056042D"/>
    <w:rsid w:val="00560588"/>
    <w:rsid w:val="00560F5B"/>
    <w:rsid w:val="00561765"/>
    <w:rsid w:val="00561929"/>
    <w:rsid w:val="00561D53"/>
    <w:rsid w:val="005621C3"/>
    <w:rsid w:val="00562242"/>
    <w:rsid w:val="0056230C"/>
    <w:rsid w:val="005626AD"/>
    <w:rsid w:val="00562793"/>
    <w:rsid w:val="00562E2B"/>
    <w:rsid w:val="005635EA"/>
    <w:rsid w:val="005637A5"/>
    <w:rsid w:val="00563BD4"/>
    <w:rsid w:val="00563CF2"/>
    <w:rsid w:val="00563EE1"/>
    <w:rsid w:val="00564890"/>
    <w:rsid w:val="00564AA7"/>
    <w:rsid w:val="00564AC0"/>
    <w:rsid w:val="00564C22"/>
    <w:rsid w:val="0056586F"/>
    <w:rsid w:val="005658DC"/>
    <w:rsid w:val="0056596F"/>
    <w:rsid w:val="0056597B"/>
    <w:rsid w:val="00565B30"/>
    <w:rsid w:val="00565BF6"/>
    <w:rsid w:val="00565D14"/>
    <w:rsid w:val="00566103"/>
    <w:rsid w:val="0056639B"/>
    <w:rsid w:val="0056646D"/>
    <w:rsid w:val="00566499"/>
    <w:rsid w:val="005666A9"/>
    <w:rsid w:val="00566A00"/>
    <w:rsid w:val="005670D2"/>
    <w:rsid w:val="005673FC"/>
    <w:rsid w:val="00567705"/>
    <w:rsid w:val="00567B83"/>
    <w:rsid w:val="005707DB"/>
    <w:rsid w:val="005708E4"/>
    <w:rsid w:val="00570E91"/>
    <w:rsid w:val="005712DB"/>
    <w:rsid w:val="00571486"/>
    <w:rsid w:val="00571931"/>
    <w:rsid w:val="00571A66"/>
    <w:rsid w:val="00571B04"/>
    <w:rsid w:val="00571EEB"/>
    <w:rsid w:val="00572120"/>
    <w:rsid w:val="005721A7"/>
    <w:rsid w:val="00572849"/>
    <w:rsid w:val="00572AD2"/>
    <w:rsid w:val="00572B92"/>
    <w:rsid w:val="00572C1C"/>
    <w:rsid w:val="00572FEC"/>
    <w:rsid w:val="00573277"/>
    <w:rsid w:val="00573EC3"/>
    <w:rsid w:val="00573F8F"/>
    <w:rsid w:val="0057424A"/>
    <w:rsid w:val="00574731"/>
    <w:rsid w:val="00574F98"/>
    <w:rsid w:val="00575281"/>
    <w:rsid w:val="005754DE"/>
    <w:rsid w:val="0057564E"/>
    <w:rsid w:val="00575C0F"/>
    <w:rsid w:val="005762CE"/>
    <w:rsid w:val="00576500"/>
    <w:rsid w:val="00576ADD"/>
    <w:rsid w:val="00576B85"/>
    <w:rsid w:val="0057721F"/>
    <w:rsid w:val="0057734F"/>
    <w:rsid w:val="005774EA"/>
    <w:rsid w:val="005775D8"/>
    <w:rsid w:val="00577905"/>
    <w:rsid w:val="00577918"/>
    <w:rsid w:val="00577A94"/>
    <w:rsid w:val="00577FC2"/>
    <w:rsid w:val="00580033"/>
    <w:rsid w:val="0058071C"/>
    <w:rsid w:val="005808FC"/>
    <w:rsid w:val="005810E7"/>
    <w:rsid w:val="0058118A"/>
    <w:rsid w:val="0058170D"/>
    <w:rsid w:val="00581864"/>
    <w:rsid w:val="00581889"/>
    <w:rsid w:val="00581CCA"/>
    <w:rsid w:val="00581F7C"/>
    <w:rsid w:val="0058202D"/>
    <w:rsid w:val="005820F6"/>
    <w:rsid w:val="00582284"/>
    <w:rsid w:val="0058228A"/>
    <w:rsid w:val="005823E3"/>
    <w:rsid w:val="005827CD"/>
    <w:rsid w:val="0058292E"/>
    <w:rsid w:val="00582A93"/>
    <w:rsid w:val="00582B46"/>
    <w:rsid w:val="00582B4F"/>
    <w:rsid w:val="00582BF5"/>
    <w:rsid w:val="00582D09"/>
    <w:rsid w:val="00582E90"/>
    <w:rsid w:val="00582F12"/>
    <w:rsid w:val="00583052"/>
    <w:rsid w:val="00583175"/>
    <w:rsid w:val="00583244"/>
    <w:rsid w:val="005832C9"/>
    <w:rsid w:val="0058372F"/>
    <w:rsid w:val="00583A75"/>
    <w:rsid w:val="00584112"/>
    <w:rsid w:val="0058443D"/>
    <w:rsid w:val="0058457E"/>
    <w:rsid w:val="0058497E"/>
    <w:rsid w:val="00584A12"/>
    <w:rsid w:val="00584D30"/>
    <w:rsid w:val="00584D41"/>
    <w:rsid w:val="00584FCF"/>
    <w:rsid w:val="005850FC"/>
    <w:rsid w:val="00585244"/>
    <w:rsid w:val="005853EF"/>
    <w:rsid w:val="0058585D"/>
    <w:rsid w:val="00586221"/>
    <w:rsid w:val="00586864"/>
    <w:rsid w:val="005868F7"/>
    <w:rsid w:val="00586AA4"/>
    <w:rsid w:val="00586AEC"/>
    <w:rsid w:val="00586DDA"/>
    <w:rsid w:val="00586DE6"/>
    <w:rsid w:val="00586ED7"/>
    <w:rsid w:val="00586FF2"/>
    <w:rsid w:val="00587275"/>
    <w:rsid w:val="005873E9"/>
    <w:rsid w:val="005878C5"/>
    <w:rsid w:val="00591773"/>
    <w:rsid w:val="00591806"/>
    <w:rsid w:val="00591872"/>
    <w:rsid w:val="00591F68"/>
    <w:rsid w:val="0059214A"/>
    <w:rsid w:val="00592A0C"/>
    <w:rsid w:val="00592AD1"/>
    <w:rsid w:val="00592B58"/>
    <w:rsid w:val="00592D34"/>
    <w:rsid w:val="00592E6B"/>
    <w:rsid w:val="00593483"/>
    <w:rsid w:val="00593B11"/>
    <w:rsid w:val="00593D89"/>
    <w:rsid w:val="00593DD7"/>
    <w:rsid w:val="00593E3E"/>
    <w:rsid w:val="005942C7"/>
    <w:rsid w:val="00594478"/>
    <w:rsid w:val="0059461D"/>
    <w:rsid w:val="00594699"/>
    <w:rsid w:val="00594CD7"/>
    <w:rsid w:val="00595037"/>
    <w:rsid w:val="00595093"/>
    <w:rsid w:val="00595C70"/>
    <w:rsid w:val="0059633E"/>
    <w:rsid w:val="005967F1"/>
    <w:rsid w:val="00596B35"/>
    <w:rsid w:val="00597165"/>
    <w:rsid w:val="005971F1"/>
    <w:rsid w:val="005976F7"/>
    <w:rsid w:val="005978DE"/>
    <w:rsid w:val="005979F7"/>
    <w:rsid w:val="00597BDA"/>
    <w:rsid w:val="005A020F"/>
    <w:rsid w:val="005A029C"/>
    <w:rsid w:val="005A0331"/>
    <w:rsid w:val="005A033F"/>
    <w:rsid w:val="005A0D4A"/>
    <w:rsid w:val="005A0E09"/>
    <w:rsid w:val="005A1232"/>
    <w:rsid w:val="005A12D5"/>
    <w:rsid w:val="005A143F"/>
    <w:rsid w:val="005A1746"/>
    <w:rsid w:val="005A1BA3"/>
    <w:rsid w:val="005A1C28"/>
    <w:rsid w:val="005A1E22"/>
    <w:rsid w:val="005A21FD"/>
    <w:rsid w:val="005A2753"/>
    <w:rsid w:val="005A2B34"/>
    <w:rsid w:val="005A2D47"/>
    <w:rsid w:val="005A3140"/>
    <w:rsid w:val="005A3408"/>
    <w:rsid w:val="005A348B"/>
    <w:rsid w:val="005A35F8"/>
    <w:rsid w:val="005A3958"/>
    <w:rsid w:val="005A3B02"/>
    <w:rsid w:val="005A3EFD"/>
    <w:rsid w:val="005A3F8E"/>
    <w:rsid w:val="005A4076"/>
    <w:rsid w:val="005A4131"/>
    <w:rsid w:val="005A4228"/>
    <w:rsid w:val="005A427A"/>
    <w:rsid w:val="005A4378"/>
    <w:rsid w:val="005A44D4"/>
    <w:rsid w:val="005A468C"/>
    <w:rsid w:val="005A4925"/>
    <w:rsid w:val="005A4C08"/>
    <w:rsid w:val="005A4F01"/>
    <w:rsid w:val="005A5263"/>
    <w:rsid w:val="005A535F"/>
    <w:rsid w:val="005A5389"/>
    <w:rsid w:val="005A53D0"/>
    <w:rsid w:val="005A5580"/>
    <w:rsid w:val="005A55D3"/>
    <w:rsid w:val="005A59FA"/>
    <w:rsid w:val="005A5F0B"/>
    <w:rsid w:val="005A626C"/>
    <w:rsid w:val="005A66B4"/>
    <w:rsid w:val="005A6D74"/>
    <w:rsid w:val="005A6F7B"/>
    <w:rsid w:val="005A75DA"/>
    <w:rsid w:val="005A7CAF"/>
    <w:rsid w:val="005B0037"/>
    <w:rsid w:val="005B00AF"/>
    <w:rsid w:val="005B00DA"/>
    <w:rsid w:val="005B016D"/>
    <w:rsid w:val="005B03C9"/>
    <w:rsid w:val="005B0850"/>
    <w:rsid w:val="005B0BC8"/>
    <w:rsid w:val="005B0E0A"/>
    <w:rsid w:val="005B10F1"/>
    <w:rsid w:val="005B1155"/>
    <w:rsid w:val="005B11E8"/>
    <w:rsid w:val="005B1486"/>
    <w:rsid w:val="005B14E0"/>
    <w:rsid w:val="005B1657"/>
    <w:rsid w:val="005B16F4"/>
    <w:rsid w:val="005B1723"/>
    <w:rsid w:val="005B1789"/>
    <w:rsid w:val="005B1AEF"/>
    <w:rsid w:val="005B1FC8"/>
    <w:rsid w:val="005B1FDE"/>
    <w:rsid w:val="005B2171"/>
    <w:rsid w:val="005B21EC"/>
    <w:rsid w:val="005B23D0"/>
    <w:rsid w:val="005B290F"/>
    <w:rsid w:val="005B2DD5"/>
    <w:rsid w:val="005B2EE2"/>
    <w:rsid w:val="005B3298"/>
    <w:rsid w:val="005B3731"/>
    <w:rsid w:val="005B3835"/>
    <w:rsid w:val="005B3C5A"/>
    <w:rsid w:val="005B3D89"/>
    <w:rsid w:val="005B416B"/>
    <w:rsid w:val="005B43F5"/>
    <w:rsid w:val="005B44ED"/>
    <w:rsid w:val="005B45AC"/>
    <w:rsid w:val="005B48B7"/>
    <w:rsid w:val="005B49FF"/>
    <w:rsid w:val="005B4EB7"/>
    <w:rsid w:val="005B5004"/>
    <w:rsid w:val="005B504A"/>
    <w:rsid w:val="005B51BA"/>
    <w:rsid w:val="005B51F2"/>
    <w:rsid w:val="005B5214"/>
    <w:rsid w:val="005B5298"/>
    <w:rsid w:val="005B593A"/>
    <w:rsid w:val="005B5DB2"/>
    <w:rsid w:val="005B5DCE"/>
    <w:rsid w:val="005B5E4F"/>
    <w:rsid w:val="005B5E58"/>
    <w:rsid w:val="005B5F54"/>
    <w:rsid w:val="005B6562"/>
    <w:rsid w:val="005B664D"/>
    <w:rsid w:val="005B665A"/>
    <w:rsid w:val="005B685B"/>
    <w:rsid w:val="005B6BD4"/>
    <w:rsid w:val="005B6C7A"/>
    <w:rsid w:val="005B6D50"/>
    <w:rsid w:val="005B6DF3"/>
    <w:rsid w:val="005B71B0"/>
    <w:rsid w:val="005B727B"/>
    <w:rsid w:val="005B7BE1"/>
    <w:rsid w:val="005B7C39"/>
    <w:rsid w:val="005B7CFB"/>
    <w:rsid w:val="005C0039"/>
    <w:rsid w:val="005C037C"/>
    <w:rsid w:val="005C0887"/>
    <w:rsid w:val="005C0A25"/>
    <w:rsid w:val="005C0A26"/>
    <w:rsid w:val="005C0A99"/>
    <w:rsid w:val="005C11A6"/>
    <w:rsid w:val="005C1217"/>
    <w:rsid w:val="005C1480"/>
    <w:rsid w:val="005C1651"/>
    <w:rsid w:val="005C1BCE"/>
    <w:rsid w:val="005C2025"/>
    <w:rsid w:val="005C2124"/>
    <w:rsid w:val="005C2871"/>
    <w:rsid w:val="005C2F26"/>
    <w:rsid w:val="005C3023"/>
    <w:rsid w:val="005C35DA"/>
    <w:rsid w:val="005C37FB"/>
    <w:rsid w:val="005C3955"/>
    <w:rsid w:val="005C3A85"/>
    <w:rsid w:val="005C3A8B"/>
    <w:rsid w:val="005C3D67"/>
    <w:rsid w:val="005C46B1"/>
    <w:rsid w:val="005C46B7"/>
    <w:rsid w:val="005C5850"/>
    <w:rsid w:val="005C58BA"/>
    <w:rsid w:val="005C59DB"/>
    <w:rsid w:val="005C5A19"/>
    <w:rsid w:val="005C5DEC"/>
    <w:rsid w:val="005C5ECD"/>
    <w:rsid w:val="005C5F90"/>
    <w:rsid w:val="005C6023"/>
    <w:rsid w:val="005C6692"/>
    <w:rsid w:val="005C6CCE"/>
    <w:rsid w:val="005C7138"/>
    <w:rsid w:val="005C71D6"/>
    <w:rsid w:val="005C759D"/>
    <w:rsid w:val="005C7725"/>
    <w:rsid w:val="005C7ABE"/>
    <w:rsid w:val="005C7BE9"/>
    <w:rsid w:val="005D0256"/>
    <w:rsid w:val="005D0A6F"/>
    <w:rsid w:val="005D0B0C"/>
    <w:rsid w:val="005D0DCA"/>
    <w:rsid w:val="005D0DFE"/>
    <w:rsid w:val="005D0EC3"/>
    <w:rsid w:val="005D0F5E"/>
    <w:rsid w:val="005D11BB"/>
    <w:rsid w:val="005D11DD"/>
    <w:rsid w:val="005D1315"/>
    <w:rsid w:val="005D149E"/>
    <w:rsid w:val="005D1575"/>
    <w:rsid w:val="005D1CAC"/>
    <w:rsid w:val="005D1DCB"/>
    <w:rsid w:val="005D1E1B"/>
    <w:rsid w:val="005D2340"/>
    <w:rsid w:val="005D28ED"/>
    <w:rsid w:val="005D2C5A"/>
    <w:rsid w:val="005D2E97"/>
    <w:rsid w:val="005D2FBA"/>
    <w:rsid w:val="005D3445"/>
    <w:rsid w:val="005D35D2"/>
    <w:rsid w:val="005D36D3"/>
    <w:rsid w:val="005D3AB2"/>
    <w:rsid w:val="005D3DAA"/>
    <w:rsid w:val="005D3DFF"/>
    <w:rsid w:val="005D429F"/>
    <w:rsid w:val="005D4373"/>
    <w:rsid w:val="005D4884"/>
    <w:rsid w:val="005D4D52"/>
    <w:rsid w:val="005D4EED"/>
    <w:rsid w:val="005D500F"/>
    <w:rsid w:val="005D505F"/>
    <w:rsid w:val="005D5162"/>
    <w:rsid w:val="005D5218"/>
    <w:rsid w:val="005D5A46"/>
    <w:rsid w:val="005D5CA5"/>
    <w:rsid w:val="005D5F9F"/>
    <w:rsid w:val="005D639A"/>
    <w:rsid w:val="005D64EE"/>
    <w:rsid w:val="005D6625"/>
    <w:rsid w:val="005D7467"/>
    <w:rsid w:val="005D749A"/>
    <w:rsid w:val="005D74CE"/>
    <w:rsid w:val="005D76BE"/>
    <w:rsid w:val="005D7B64"/>
    <w:rsid w:val="005D7CD8"/>
    <w:rsid w:val="005D7DAE"/>
    <w:rsid w:val="005E012E"/>
    <w:rsid w:val="005E05C7"/>
    <w:rsid w:val="005E0688"/>
    <w:rsid w:val="005E06E1"/>
    <w:rsid w:val="005E1164"/>
    <w:rsid w:val="005E11A9"/>
    <w:rsid w:val="005E121D"/>
    <w:rsid w:val="005E146C"/>
    <w:rsid w:val="005E189E"/>
    <w:rsid w:val="005E19EC"/>
    <w:rsid w:val="005E21BB"/>
    <w:rsid w:val="005E2727"/>
    <w:rsid w:val="005E2B2B"/>
    <w:rsid w:val="005E2F5F"/>
    <w:rsid w:val="005E30CE"/>
    <w:rsid w:val="005E319A"/>
    <w:rsid w:val="005E325B"/>
    <w:rsid w:val="005E325F"/>
    <w:rsid w:val="005E342B"/>
    <w:rsid w:val="005E3525"/>
    <w:rsid w:val="005E3651"/>
    <w:rsid w:val="005E3712"/>
    <w:rsid w:val="005E38E3"/>
    <w:rsid w:val="005E39CF"/>
    <w:rsid w:val="005E4410"/>
    <w:rsid w:val="005E4C2A"/>
    <w:rsid w:val="005E4C69"/>
    <w:rsid w:val="005E4D58"/>
    <w:rsid w:val="005E4DBF"/>
    <w:rsid w:val="005E4DD9"/>
    <w:rsid w:val="005E512B"/>
    <w:rsid w:val="005E53F5"/>
    <w:rsid w:val="005E58BA"/>
    <w:rsid w:val="005E59BD"/>
    <w:rsid w:val="005E6273"/>
    <w:rsid w:val="005E6594"/>
    <w:rsid w:val="005E68D7"/>
    <w:rsid w:val="005E6A96"/>
    <w:rsid w:val="005E6AAA"/>
    <w:rsid w:val="005E6B2E"/>
    <w:rsid w:val="005E6D60"/>
    <w:rsid w:val="005E70A2"/>
    <w:rsid w:val="005E7167"/>
    <w:rsid w:val="005E7193"/>
    <w:rsid w:val="005E7264"/>
    <w:rsid w:val="005E742E"/>
    <w:rsid w:val="005E7639"/>
    <w:rsid w:val="005E78E8"/>
    <w:rsid w:val="005E7ABB"/>
    <w:rsid w:val="005E7F28"/>
    <w:rsid w:val="005E7F95"/>
    <w:rsid w:val="005E7F9A"/>
    <w:rsid w:val="005F009F"/>
    <w:rsid w:val="005F00A7"/>
    <w:rsid w:val="005F025D"/>
    <w:rsid w:val="005F0DBE"/>
    <w:rsid w:val="005F0F8C"/>
    <w:rsid w:val="005F0FEA"/>
    <w:rsid w:val="005F108D"/>
    <w:rsid w:val="005F1368"/>
    <w:rsid w:val="005F1623"/>
    <w:rsid w:val="005F1AE9"/>
    <w:rsid w:val="005F2030"/>
    <w:rsid w:val="005F23A0"/>
    <w:rsid w:val="005F2787"/>
    <w:rsid w:val="005F2A25"/>
    <w:rsid w:val="005F3583"/>
    <w:rsid w:val="005F3A48"/>
    <w:rsid w:val="005F3CA2"/>
    <w:rsid w:val="005F4135"/>
    <w:rsid w:val="005F47FD"/>
    <w:rsid w:val="005F4E98"/>
    <w:rsid w:val="005F5056"/>
    <w:rsid w:val="005F5144"/>
    <w:rsid w:val="005F539F"/>
    <w:rsid w:val="005F54D5"/>
    <w:rsid w:val="005F5FBA"/>
    <w:rsid w:val="005F61B9"/>
    <w:rsid w:val="005F6834"/>
    <w:rsid w:val="005F6AC4"/>
    <w:rsid w:val="005F6AF1"/>
    <w:rsid w:val="005F70A0"/>
    <w:rsid w:val="005F746F"/>
    <w:rsid w:val="005F78A0"/>
    <w:rsid w:val="005F7BC8"/>
    <w:rsid w:val="005F7D18"/>
    <w:rsid w:val="005F7EAF"/>
    <w:rsid w:val="0060083C"/>
    <w:rsid w:val="00600863"/>
    <w:rsid w:val="006008EB"/>
    <w:rsid w:val="00600965"/>
    <w:rsid w:val="00600A91"/>
    <w:rsid w:val="00600E30"/>
    <w:rsid w:val="00600E9E"/>
    <w:rsid w:val="0060119E"/>
    <w:rsid w:val="00601257"/>
    <w:rsid w:val="00601C74"/>
    <w:rsid w:val="00601F16"/>
    <w:rsid w:val="00602112"/>
    <w:rsid w:val="0060257A"/>
    <w:rsid w:val="00602631"/>
    <w:rsid w:val="006026A0"/>
    <w:rsid w:val="0060297F"/>
    <w:rsid w:val="00602B25"/>
    <w:rsid w:val="00602D35"/>
    <w:rsid w:val="006030E3"/>
    <w:rsid w:val="00603389"/>
    <w:rsid w:val="00603847"/>
    <w:rsid w:val="006038A1"/>
    <w:rsid w:val="00604003"/>
    <w:rsid w:val="00604157"/>
    <w:rsid w:val="0060428B"/>
    <w:rsid w:val="0060459C"/>
    <w:rsid w:val="0060486F"/>
    <w:rsid w:val="006051DB"/>
    <w:rsid w:val="00605205"/>
    <w:rsid w:val="00605359"/>
    <w:rsid w:val="00605796"/>
    <w:rsid w:val="0060598D"/>
    <w:rsid w:val="0060608F"/>
    <w:rsid w:val="006063B2"/>
    <w:rsid w:val="00606691"/>
    <w:rsid w:val="00606A46"/>
    <w:rsid w:val="00606E60"/>
    <w:rsid w:val="006070DC"/>
    <w:rsid w:val="006077B6"/>
    <w:rsid w:val="00607EC6"/>
    <w:rsid w:val="0061029E"/>
    <w:rsid w:val="006102C6"/>
    <w:rsid w:val="006104FF"/>
    <w:rsid w:val="006105F1"/>
    <w:rsid w:val="006109B3"/>
    <w:rsid w:val="00610D83"/>
    <w:rsid w:val="00611181"/>
    <w:rsid w:val="006113E5"/>
    <w:rsid w:val="00611D49"/>
    <w:rsid w:val="00611FAF"/>
    <w:rsid w:val="00612166"/>
    <w:rsid w:val="006123C0"/>
    <w:rsid w:val="0061279A"/>
    <w:rsid w:val="00612B9F"/>
    <w:rsid w:val="00612C6C"/>
    <w:rsid w:val="0061349B"/>
    <w:rsid w:val="006135BF"/>
    <w:rsid w:val="00613A8D"/>
    <w:rsid w:val="00613F59"/>
    <w:rsid w:val="00614489"/>
    <w:rsid w:val="00614589"/>
    <w:rsid w:val="006146B4"/>
    <w:rsid w:val="00614AAB"/>
    <w:rsid w:val="00614B27"/>
    <w:rsid w:val="00614CF1"/>
    <w:rsid w:val="006151B0"/>
    <w:rsid w:val="00615BE4"/>
    <w:rsid w:val="00616151"/>
    <w:rsid w:val="006161B4"/>
    <w:rsid w:val="006163F5"/>
    <w:rsid w:val="00616498"/>
    <w:rsid w:val="006165E2"/>
    <w:rsid w:val="006167A1"/>
    <w:rsid w:val="00616C8A"/>
    <w:rsid w:val="00617405"/>
    <w:rsid w:val="006177CB"/>
    <w:rsid w:val="00617AE5"/>
    <w:rsid w:val="00617FA9"/>
    <w:rsid w:val="00620066"/>
    <w:rsid w:val="00620081"/>
    <w:rsid w:val="006200B1"/>
    <w:rsid w:val="0062020A"/>
    <w:rsid w:val="0062086D"/>
    <w:rsid w:val="0062086F"/>
    <w:rsid w:val="0062162C"/>
    <w:rsid w:val="00621821"/>
    <w:rsid w:val="00621C62"/>
    <w:rsid w:val="00621DCC"/>
    <w:rsid w:val="00622714"/>
    <w:rsid w:val="00622D8B"/>
    <w:rsid w:val="00623033"/>
    <w:rsid w:val="00623123"/>
    <w:rsid w:val="006236A8"/>
    <w:rsid w:val="006236C1"/>
    <w:rsid w:val="00623890"/>
    <w:rsid w:val="006238DD"/>
    <w:rsid w:val="006238E7"/>
    <w:rsid w:val="006239F5"/>
    <w:rsid w:val="00623A3E"/>
    <w:rsid w:val="00623AFE"/>
    <w:rsid w:val="00623E32"/>
    <w:rsid w:val="00624003"/>
    <w:rsid w:val="0062421B"/>
    <w:rsid w:val="00624233"/>
    <w:rsid w:val="006245C9"/>
    <w:rsid w:val="00624BD5"/>
    <w:rsid w:val="00624F68"/>
    <w:rsid w:val="006253C8"/>
    <w:rsid w:val="00625576"/>
    <w:rsid w:val="00626164"/>
    <w:rsid w:val="0062624D"/>
    <w:rsid w:val="00626658"/>
    <w:rsid w:val="00626F3B"/>
    <w:rsid w:val="006270D6"/>
    <w:rsid w:val="0062738B"/>
    <w:rsid w:val="00627592"/>
    <w:rsid w:val="006276E4"/>
    <w:rsid w:val="006276EB"/>
    <w:rsid w:val="00627861"/>
    <w:rsid w:val="00630179"/>
    <w:rsid w:val="0063019A"/>
    <w:rsid w:val="00630236"/>
    <w:rsid w:val="006303FC"/>
    <w:rsid w:val="00630466"/>
    <w:rsid w:val="00630496"/>
    <w:rsid w:val="0063066B"/>
    <w:rsid w:val="006307D7"/>
    <w:rsid w:val="006308B0"/>
    <w:rsid w:val="006308DB"/>
    <w:rsid w:val="00630A4B"/>
    <w:rsid w:val="00631325"/>
    <w:rsid w:val="006314AD"/>
    <w:rsid w:val="00631671"/>
    <w:rsid w:val="0063183C"/>
    <w:rsid w:val="00631A5C"/>
    <w:rsid w:val="00631D04"/>
    <w:rsid w:val="00631EBF"/>
    <w:rsid w:val="006320B7"/>
    <w:rsid w:val="006320F5"/>
    <w:rsid w:val="00632325"/>
    <w:rsid w:val="006327D1"/>
    <w:rsid w:val="00632C00"/>
    <w:rsid w:val="00632D11"/>
    <w:rsid w:val="00632D7D"/>
    <w:rsid w:val="006334FE"/>
    <w:rsid w:val="00633C1D"/>
    <w:rsid w:val="00633D35"/>
    <w:rsid w:val="0063408A"/>
    <w:rsid w:val="00634167"/>
    <w:rsid w:val="0063420D"/>
    <w:rsid w:val="006342E2"/>
    <w:rsid w:val="0063443E"/>
    <w:rsid w:val="0063453A"/>
    <w:rsid w:val="00634724"/>
    <w:rsid w:val="006348A7"/>
    <w:rsid w:val="0063515B"/>
    <w:rsid w:val="00635266"/>
    <w:rsid w:val="0063536B"/>
    <w:rsid w:val="006354F3"/>
    <w:rsid w:val="0063590E"/>
    <w:rsid w:val="00635A46"/>
    <w:rsid w:val="00635B77"/>
    <w:rsid w:val="00635C1C"/>
    <w:rsid w:val="00635EBB"/>
    <w:rsid w:val="00636573"/>
    <w:rsid w:val="0063663E"/>
    <w:rsid w:val="006369A4"/>
    <w:rsid w:val="00636A71"/>
    <w:rsid w:val="00636CB4"/>
    <w:rsid w:val="006371EF"/>
    <w:rsid w:val="006371F4"/>
    <w:rsid w:val="0063726C"/>
    <w:rsid w:val="0063776D"/>
    <w:rsid w:val="00637A7A"/>
    <w:rsid w:val="00637A9F"/>
    <w:rsid w:val="00637AB7"/>
    <w:rsid w:val="00637ADE"/>
    <w:rsid w:val="00637ED3"/>
    <w:rsid w:val="00637EFA"/>
    <w:rsid w:val="00640219"/>
    <w:rsid w:val="006404CA"/>
    <w:rsid w:val="006406AE"/>
    <w:rsid w:val="00640F6C"/>
    <w:rsid w:val="0064100C"/>
    <w:rsid w:val="00641334"/>
    <w:rsid w:val="006413D5"/>
    <w:rsid w:val="006415F6"/>
    <w:rsid w:val="00641886"/>
    <w:rsid w:val="00641C63"/>
    <w:rsid w:val="00641EC8"/>
    <w:rsid w:val="00641FFF"/>
    <w:rsid w:val="0064200D"/>
    <w:rsid w:val="006421A7"/>
    <w:rsid w:val="00642210"/>
    <w:rsid w:val="00642748"/>
    <w:rsid w:val="006428C4"/>
    <w:rsid w:val="0064290B"/>
    <w:rsid w:val="00642B85"/>
    <w:rsid w:val="00642DD9"/>
    <w:rsid w:val="006430C5"/>
    <w:rsid w:val="00643740"/>
    <w:rsid w:val="00643A34"/>
    <w:rsid w:val="00643DD4"/>
    <w:rsid w:val="00643E9B"/>
    <w:rsid w:val="0064450F"/>
    <w:rsid w:val="0064473E"/>
    <w:rsid w:val="006450E6"/>
    <w:rsid w:val="0064518A"/>
    <w:rsid w:val="006451B2"/>
    <w:rsid w:val="0064521C"/>
    <w:rsid w:val="00645426"/>
    <w:rsid w:val="006454B8"/>
    <w:rsid w:val="00645A86"/>
    <w:rsid w:val="00645A8D"/>
    <w:rsid w:val="006460C7"/>
    <w:rsid w:val="00646583"/>
    <w:rsid w:val="00646982"/>
    <w:rsid w:val="00646C7F"/>
    <w:rsid w:val="00646EB0"/>
    <w:rsid w:val="00647021"/>
    <w:rsid w:val="00647050"/>
    <w:rsid w:val="00647235"/>
    <w:rsid w:val="006479BD"/>
    <w:rsid w:val="00647C12"/>
    <w:rsid w:val="00647E0E"/>
    <w:rsid w:val="006500FA"/>
    <w:rsid w:val="0065084A"/>
    <w:rsid w:val="00650A36"/>
    <w:rsid w:val="00650A72"/>
    <w:rsid w:val="00650BF9"/>
    <w:rsid w:val="0065134C"/>
    <w:rsid w:val="0065136F"/>
    <w:rsid w:val="006515A4"/>
    <w:rsid w:val="0065166D"/>
    <w:rsid w:val="00651A5B"/>
    <w:rsid w:val="00651D8B"/>
    <w:rsid w:val="006521A1"/>
    <w:rsid w:val="006521A7"/>
    <w:rsid w:val="006522C1"/>
    <w:rsid w:val="00652524"/>
    <w:rsid w:val="006528F8"/>
    <w:rsid w:val="00652C49"/>
    <w:rsid w:val="00652E74"/>
    <w:rsid w:val="006534F8"/>
    <w:rsid w:val="0065391D"/>
    <w:rsid w:val="006539C0"/>
    <w:rsid w:val="00653D16"/>
    <w:rsid w:val="00654312"/>
    <w:rsid w:val="006545A7"/>
    <w:rsid w:val="0065467E"/>
    <w:rsid w:val="00654C4B"/>
    <w:rsid w:val="0065531F"/>
    <w:rsid w:val="00655DFC"/>
    <w:rsid w:val="00655E30"/>
    <w:rsid w:val="006564FA"/>
    <w:rsid w:val="006567B0"/>
    <w:rsid w:val="00656A1A"/>
    <w:rsid w:val="00656DCC"/>
    <w:rsid w:val="00657086"/>
    <w:rsid w:val="00657A4F"/>
    <w:rsid w:val="00657B5B"/>
    <w:rsid w:val="00657D69"/>
    <w:rsid w:val="00660464"/>
    <w:rsid w:val="00660926"/>
    <w:rsid w:val="006609DD"/>
    <w:rsid w:val="00660B0D"/>
    <w:rsid w:val="00660C65"/>
    <w:rsid w:val="00660D2B"/>
    <w:rsid w:val="00660E84"/>
    <w:rsid w:val="006610D7"/>
    <w:rsid w:val="00661146"/>
    <w:rsid w:val="0066120F"/>
    <w:rsid w:val="006618E3"/>
    <w:rsid w:val="006619DD"/>
    <w:rsid w:val="00661CA1"/>
    <w:rsid w:val="00662B82"/>
    <w:rsid w:val="00662C6B"/>
    <w:rsid w:val="00662E37"/>
    <w:rsid w:val="00662FBA"/>
    <w:rsid w:val="00663021"/>
    <w:rsid w:val="006634BE"/>
    <w:rsid w:val="006635CD"/>
    <w:rsid w:val="00663E80"/>
    <w:rsid w:val="00664105"/>
    <w:rsid w:val="00664384"/>
    <w:rsid w:val="006645D5"/>
    <w:rsid w:val="00664D4E"/>
    <w:rsid w:val="00664D9E"/>
    <w:rsid w:val="00664FD2"/>
    <w:rsid w:val="00665178"/>
    <w:rsid w:val="006652B7"/>
    <w:rsid w:val="0066577A"/>
    <w:rsid w:val="00665801"/>
    <w:rsid w:val="006658DD"/>
    <w:rsid w:val="00665C15"/>
    <w:rsid w:val="00665CD1"/>
    <w:rsid w:val="00665D1E"/>
    <w:rsid w:val="00665E67"/>
    <w:rsid w:val="00666005"/>
    <w:rsid w:val="00666191"/>
    <w:rsid w:val="006663E7"/>
    <w:rsid w:val="00666546"/>
    <w:rsid w:val="00666659"/>
    <w:rsid w:val="00666A08"/>
    <w:rsid w:val="00666A0F"/>
    <w:rsid w:val="00666A2C"/>
    <w:rsid w:val="00667087"/>
    <w:rsid w:val="006671D3"/>
    <w:rsid w:val="006671D8"/>
    <w:rsid w:val="006671FC"/>
    <w:rsid w:val="00667464"/>
    <w:rsid w:val="006676EF"/>
    <w:rsid w:val="00667984"/>
    <w:rsid w:val="0067038C"/>
    <w:rsid w:val="00670631"/>
    <w:rsid w:val="0067074E"/>
    <w:rsid w:val="0067097E"/>
    <w:rsid w:val="00670A9E"/>
    <w:rsid w:val="00670B63"/>
    <w:rsid w:val="00670CA5"/>
    <w:rsid w:val="00671015"/>
    <w:rsid w:val="00671624"/>
    <w:rsid w:val="006718ED"/>
    <w:rsid w:val="00671BB3"/>
    <w:rsid w:val="00671D8D"/>
    <w:rsid w:val="00671DEE"/>
    <w:rsid w:val="00671FCD"/>
    <w:rsid w:val="006720E5"/>
    <w:rsid w:val="006725C5"/>
    <w:rsid w:val="0067261B"/>
    <w:rsid w:val="00672930"/>
    <w:rsid w:val="0067372E"/>
    <w:rsid w:val="00673FD3"/>
    <w:rsid w:val="006743F1"/>
    <w:rsid w:val="0067468A"/>
    <w:rsid w:val="00674A35"/>
    <w:rsid w:val="00674B30"/>
    <w:rsid w:val="00674BB6"/>
    <w:rsid w:val="00674FD7"/>
    <w:rsid w:val="00674FF7"/>
    <w:rsid w:val="00675241"/>
    <w:rsid w:val="00675667"/>
    <w:rsid w:val="0067574C"/>
    <w:rsid w:val="00675824"/>
    <w:rsid w:val="0067587C"/>
    <w:rsid w:val="006758BE"/>
    <w:rsid w:val="00675D86"/>
    <w:rsid w:val="006763BB"/>
    <w:rsid w:val="0067708B"/>
    <w:rsid w:val="00677149"/>
    <w:rsid w:val="00677370"/>
    <w:rsid w:val="006773BE"/>
    <w:rsid w:val="00677707"/>
    <w:rsid w:val="00677787"/>
    <w:rsid w:val="00677A65"/>
    <w:rsid w:val="00677C94"/>
    <w:rsid w:val="00677F1E"/>
    <w:rsid w:val="00677FDA"/>
    <w:rsid w:val="006804B2"/>
    <w:rsid w:val="006807F4"/>
    <w:rsid w:val="00680AD3"/>
    <w:rsid w:val="006810CF"/>
    <w:rsid w:val="006811D9"/>
    <w:rsid w:val="006821A4"/>
    <w:rsid w:val="00682648"/>
    <w:rsid w:val="00682C2E"/>
    <w:rsid w:val="00682D03"/>
    <w:rsid w:val="00682FB1"/>
    <w:rsid w:val="006830F4"/>
    <w:rsid w:val="006838ED"/>
    <w:rsid w:val="006839CF"/>
    <w:rsid w:val="006839FE"/>
    <w:rsid w:val="00683ECE"/>
    <w:rsid w:val="0068423C"/>
    <w:rsid w:val="00684352"/>
    <w:rsid w:val="0068457D"/>
    <w:rsid w:val="0068467E"/>
    <w:rsid w:val="00684AF6"/>
    <w:rsid w:val="00684C44"/>
    <w:rsid w:val="00684D24"/>
    <w:rsid w:val="00685059"/>
    <w:rsid w:val="00685081"/>
    <w:rsid w:val="006850C5"/>
    <w:rsid w:val="00685134"/>
    <w:rsid w:val="0068543C"/>
    <w:rsid w:val="00685448"/>
    <w:rsid w:val="00685693"/>
    <w:rsid w:val="006856E7"/>
    <w:rsid w:val="00685B00"/>
    <w:rsid w:val="00685EA7"/>
    <w:rsid w:val="00685EF8"/>
    <w:rsid w:val="00685FAF"/>
    <w:rsid w:val="00686148"/>
    <w:rsid w:val="0068643F"/>
    <w:rsid w:val="00686617"/>
    <w:rsid w:val="00686908"/>
    <w:rsid w:val="00686AE4"/>
    <w:rsid w:val="00686EDA"/>
    <w:rsid w:val="0068738A"/>
    <w:rsid w:val="0068742D"/>
    <w:rsid w:val="00687A84"/>
    <w:rsid w:val="00687AF4"/>
    <w:rsid w:val="00687F1C"/>
    <w:rsid w:val="00687FF2"/>
    <w:rsid w:val="006902CA"/>
    <w:rsid w:val="0069059D"/>
    <w:rsid w:val="006905AE"/>
    <w:rsid w:val="006905B2"/>
    <w:rsid w:val="00690D37"/>
    <w:rsid w:val="00690DE1"/>
    <w:rsid w:val="006912C6"/>
    <w:rsid w:val="006914E8"/>
    <w:rsid w:val="006915E3"/>
    <w:rsid w:val="0069168D"/>
    <w:rsid w:val="0069175B"/>
    <w:rsid w:val="00691B0D"/>
    <w:rsid w:val="00691F22"/>
    <w:rsid w:val="00691F71"/>
    <w:rsid w:val="00692625"/>
    <w:rsid w:val="00692C0B"/>
    <w:rsid w:val="00692F0C"/>
    <w:rsid w:val="006930AE"/>
    <w:rsid w:val="006930CC"/>
    <w:rsid w:val="006936FA"/>
    <w:rsid w:val="00693917"/>
    <w:rsid w:val="00693FEE"/>
    <w:rsid w:val="00694707"/>
    <w:rsid w:val="00694ABA"/>
    <w:rsid w:val="0069515D"/>
    <w:rsid w:val="006951A3"/>
    <w:rsid w:val="00695277"/>
    <w:rsid w:val="0069534B"/>
    <w:rsid w:val="0069545E"/>
    <w:rsid w:val="0069566C"/>
    <w:rsid w:val="00695847"/>
    <w:rsid w:val="00695AB7"/>
    <w:rsid w:val="00695DB1"/>
    <w:rsid w:val="00696066"/>
    <w:rsid w:val="00696319"/>
    <w:rsid w:val="00696326"/>
    <w:rsid w:val="00696622"/>
    <w:rsid w:val="00696645"/>
    <w:rsid w:val="00696B4B"/>
    <w:rsid w:val="0069708A"/>
    <w:rsid w:val="0069716D"/>
    <w:rsid w:val="0069732A"/>
    <w:rsid w:val="00697387"/>
    <w:rsid w:val="00697469"/>
    <w:rsid w:val="006975E7"/>
    <w:rsid w:val="00697694"/>
    <w:rsid w:val="00697723"/>
    <w:rsid w:val="00697853"/>
    <w:rsid w:val="00697C1E"/>
    <w:rsid w:val="00697E69"/>
    <w:rsid w:val="006A0030"/>
    <w:rsid w:val="006A0997"/>
    <w:rsid w:val="006A0C7C"/>
    <w:rsid w:val="006A101D"/>
    <w:rsid w:val="006A1AB4"/>
    <w:rsid w:val="006A1BA3"/>
    <w:rsid w:val="006A1D46"/>
    <w:rsid w:val="006A219C"/>
    <w:rsid w:val="006A2294"/>
    <w:rsid w:val="006A26C6"/>
    <w:rsid w:val="006A272C"/>
    <w:rsid w:val="006A2862"/>
    <w:rsid w:val="006A29BB"/>
    <w:rsid w:val="006A2E84"/>
    <w:rsid w:val="006A2FA2"/>
    <w:rsid w:val="006A2FC6"/>
    <w:rsid w:val="006A3354"/>
    <w:rsid w:val="006A3976"/>
    <w:rsid w:val="006A3F51"/>
    <w:rsid w:val="006A3FD5"/>
    <w:rsid w:val="006A472D"/>
    <w:rsid w:val="006A4BBB"/>
    <w:rsid w:val="006A4F81"/>
    <w:rsid w:val="006A5091"/>
    <w:rsid w:val="006A5302"/>
    <w:rsid w:val="006A5A15"/>
    <w:rsid w:val="006A5D2D"/>
    <w:rsid w:val="006A5DAD"/>
    <w:rsid w:val="006A5FA1"/>
    <w:rsid w:val="006A64DA"/>
    <w:rsid w:val="006A64F2"/>
    <w:rsid w:val="006A666A"/>
    <w:rsid w:val="006A6785"/>
    <w:rsid w:val="006A6971"/>
    <w:rsid w:val="006A6BEC"/>
    <w:rsid w:val="006A6CD8"/>
    <w:rsid w:val="006A6D4B"/>
    <w:rsid w:val="006A6E6D"/>
    <w:rsid w:val="006B0256"/>
    <w:rsid w:val="006B04DC"/>
    <w:rsid w:val="006B12CD"/>
    <w:rsid w:val="006B13DA"/>
    <w:rsid w:val="006B19B9"/>
    <w:rsid w:val="006B1B90"/>
    <w:rsid w:val="006B201D"/>
    <w:rsid w:val="006B20D6"/>
    <w:rsid w:val="006B2755"/>
    <w:rsid w:val="006B27D2"/>
    <w:rsid w:val="006B2D66"/>
    <w:rsid w:val="006B3119"/>
    <w:rsid w:val="006B389E"/>
    <w:rsid w:val="006B39FF"/>
    <w:rsid w:val="006B3C04"/>
    <w:rsid w:val="006B3D97"/>
    <w:rsid w:val="006B44BF"/>
    <w:rsid w:val="006B499A"/>
    <w:rsid w:val="006B4BAA"/>
    <w:rsid w:val="006B4C5D"/>
    <w:rsid w:val="006B4C6D"/>
    <w:rsid w:val="006B5071"/>
    <w:rsid w:val="006B5762"/>
    <w:rsid w:val="006B57A5"/>
    <w:rsid w:val="006B59B4"/>
    <w:rsid w:val="006B5B89"/>
    <w:rsid w:val="006B5CAF"/>
    <w:rsid w:val="006B5FFD"/>
    <w:rsid w:val="006B61E6"/>
    <w:rsid w:val="006B6369"/>
    <w:rsid w:val="006B6589"/>
    <w:rsid w:val="006B6631"/>
    <w:rsid w:val="006B68B2"/>
    <w:rsid w:val="006B6F9E"/>
    <w:rsid w:val="006B7292"/>
    <w:rsid w:val="006B7360"/>
    <w:rsid w:val="006B780E"/>
    <w:rsid w:val="006B79FC"/>
    <w:rsid w:val="006B7B1C"/>
    <w:rsid w:val="006B7DE7"/>
    <w:rsid w:val="006B7FB9"/>
    <w:rsid w:val="006C011D"/>
    <w:rsid w:val="006C0987"/>
    <w:rsid w:val="006C115E"/>
    <w:rsid w:val="006C14EF"/>
    <w:rsid w:val="006C179E"/>
    <w:rsid w:val="006C18DA"/>
    <w:rsid w:val="006C1947"/>
    <w:rsid w:val="006C1960"/>
    <w:rsid w:val="006C1A89"/>
    <w:rsid w:val="006C1C47"/>
    <w:rsid w:val="006C1FA9"/>
    <w:rsid w:val="006C26E3"/>
    <w:rsid w:val="006C2702"/>
    <w:rsid w:val="006C2841"/>
    <w:rsid w:val="006C2EFA"/>
    <w:rsid w:val="006C3330"/>
    <w:rsid w:val="006C36D8"/>
    <w:rsid w:val="006C382A"/>
    <w:rsid w:val="006C3A72"/>
    <w:rsid w:val="006C3D63"/>
    <w:rsid w:val="006C3EEC"/>
    <w:rsid w:val="006C422C"/>
    <w:rsid w:val="006C45A2"/>
    <w:rsid w:val="006C45B9"/>
    <w:rsid w:val="006C49B9"/>
    <w:rsid w:val="006C4B5F"/>
    <w:rsid w:val="006C525C"/>
    <w:rsid w:val="006C543D"/>
    <w:rsid w:val="006C5AEA"/>
    <w:rsid w:val="006C5FE6"/>
    <w:rsid w:val="006C65F7"/>
    <w:rsid w:val="006C6739"/>
    <w:rsid w:val="006C6899"/>
    <w:rsid w:val="006C6FA0"/>
    <w:rsid w:val="006C7196"/>
    <w:rsid w:val="006C7503"/>
    <w:rsid w:val="006C7738"/>
    <w:rsid w:val="006C785A"/>
    <w:rsid w:val="006C78D1"/>
    <w:rsid w:val="006C7E06"/>
    <w:rsid w:val="006C7FD9"/>
    <w:rsid w:val="006D000B"/>
    <w:rsid w:val="006D0016"/>
    <w:rsid w:val="006D00BF"/>
    <w:rsid w:val="006D043C"/>
    <w:rsid w:val="006D1174"/>
    <w:rsid w:val="006D125B"/>
    <w:rsid w:val="006D155E"/>
    <w:rsid w:val="006D1778"/>
    <w:rsid w:val="006D247E"/>
    <w:rsid w:val="006D255D"/>
    <w:rsid w:val="006D26ED"/>
    <w:rsid w:val="006D2BA2"/>
    <w:rsid w:val="006D2C14"/>
    <w:rsid w:val="006D3089"/>
    <w:rsid w:val="006D35B9"/>
    <w:rsid w:val="006D3F5C"/>
    <w:rsid w:val="006D41E1"/>
    <w:rsid w:val="006D449E"/>
    <w:rsid w:val="006D44C3"/>
    <w:rsid w:val="006D4619"/>
    <w:rsid w:val="006D4948"/>
    <w:rsid w:val="006D4F08"/>
    <w:rsid w:val="006D50CD"/>
    <w:rsid w:val="006D5608"/>
    <w:rsid w:val="006D56C8"/>
    <w:rsid w:val="006D5765"/>
    <w:rsid w:val="006D57B8"/>
    <w:rsid w:val="006D59ED"/>
    <w:rsid w:val="006D62EA"/>
    <w:rsid w:val="006D632A"/>
    <w:rsid w:val="006D650F"/>
    <w:rsid w:val="006D6520"/>
    <w:rsid w:val="006D6539"/>
    <w:rsid w:val="006D6884"/>
    <w:rsid w:val="006D6AE3"/>
    <w:rsid w:val="006D6C37"/>
    <w:rsid w:val="006D6D1B"/>
    <w:rsid w:val="006D6E8D"/>
    <w:rsid w:val="006D71AF"/>
    <w:rsid w:val="006D7562"/>
    <w:rsid w:val="006D75AB"/>
    <w:rsid w:val="006D75C5"/>
    <w:rsid w:val="006D7738"/>
    <w:rsid w:val="006D77F9"/>
    <w:rsid w:val="006D78CB"/>
    <w:rsid w:val="006D79A2"/>
    <w:rsid w:val="006D7CD1"/>
    <w:rsid w:val="006D7D29"/>
    <w:rsid w:val="006D7FF6"/>
    <w:rsid w:val="006E0167"/>
    <w:rsid w:val="006E01D6"/>
    <w:rsid w:val="006E0686"/>
    <w:rsid w:val="006E0BE9"/>
    <w:rsid w:val="006E137B"/>
    <w:rsid w:val="006E14D9"/>
    <w:rsid w:val="006E1788"/>
    <w:rsid w:val="006E19F5"/>
    <w:rsid w:val="006E2088"/>
    <w:rsid w:val="006E208C"/>
    <w:rsid w:val="006E239F"/>
    <w:rsid w:val="006E2547"/>
    <w:rsid w:val="006E2665"/>
    <w:rsid w:val="006E270B"/>
    <w:rsid w:val="006E27CD"/>
    <w:rsid w:val="006E29AA"/>
    <w:rsid w:val="006E2B01"/>
    <w:rsid w:val="006E2DAF"/>
    <w:rsid w:val="006E2F77"/>
    <w:rsid w:val="006E2F7D"/>
    <w:rsid w:val="006E2F9A"/>
    <w:rsid w:val="006E33E5"/>
    <w:rsid w:val="006E3714"/>
    <w:rsid w:val="006E380C"/>
    <w:rsid w:val="006E39AB"/>
    <w:rsid w:val="006E3E9F"/>
    <w:rsid w:val="006E4071"/>
    <w:rsid w:val="006E43CE"/>
    <w:rsid w:val="006E456B"/>
    <w:rsid w:val="006E4730"/>
    <w:rsid w:val="006E4BC8"/>
    <w:rsid w:val="006E4EC7"/>
    <w:rsid w:val="006E5249"/>
    <w:rsid w:val="006E53F6"/>
    <w:rsid w:val="006E5615"/>
    <w:rsid w:val="006E5632"/>
    <w:rsid w:val="006E573F"/>
    <w:rsid w:val="006E62B6"/>
    <w:rsid w:val="006E63DB"/>
    <w:rsid w:val="006E6EF8"/>
    <w:rsid w:val="006E7AB1"/>
    <w:rsid w:val="006F025B"/>
    <w:rsid w:val="006F0389"/>
    <w:rsid w:val="006F0444"/>
    <w:rsid w:val="006F04A0"/>
    <w:rsid w:val="006F05EB"/>
    <w:rsid w:val="006F06E2"/>
    <w:rsid w:val="006F0A30"/>
    <w:rsid w:val="006F0B7C"/>
    <w:rsid w:val="006F14DD"/>
    <w:rsid w:val="006F157F"/>
    <w:rsid w:val="006F1D59"/>
    <w:rsid w:val="006F214B"/>
    <w:rsid w:val="006F257B"/>
    <w:rsid w:val="006F2C22"/>
    <w:rsid w:val="006F2C2C"/>
    <w:rsid w:val="006F2FA8"/>
    <w:rsid w:val="006F31FD"/>
    <w:rsid w:val="006F3578"/>
    <w:rsid w:val="006F39D8"/>
    <w:rsid w:val="006F3CDF"/>
    <w:rsid w:val="006F3E70"/>
    <w:rsid w:val="006F3FAE"/>
    <w:rsid w:val="006F4107"/>
    <w:rsid w:val="006F4197"/>
    <w:rsid w:val="006F4294"/>
    <w:rsid w:val="006F43F7"/>
    <w:rsid w:val="006F4756"/>
    <w:rsid w:val="006F4EB5"/>
    <w:rsid w:val="006F520C"/>
    <w:rsid w:val="006F52CA"/>
    <w:rsid w:val="006F5508"/>
    <w:rsid w:val="006F593A"/>
    <w:rsid w:val="006F593B"/>
    <w:rsid w:val="006F5BAC"/>
    <w:rsid w:val="006F5C28"/>
    <w:rsid w:val="006F5DBB"/>
    <w:rsid w:val="006F5EFD"/>
    <w:rsid w:val="006F62DC"/>
    <w:rsid w:val="006F62FB"/>
    <w:rsid w:val="006F6406"/>
    <w:rsid w:val="006F641F"/>
    <w:rsid w:val="006F67EA"/>
    <w:rsid w:val="006F6880"/>
    <w:rsid w:val="006F6914"/>
    <w:rsid w:val="006F6C8C"/>
    <w:rsid w:val="006F6D91"/>
    <w:rsid w:val="006F7485"/>
    <w:rsid w:val="006F7700"/>
    <w:rsid w:val="006F79ED"/>
    <w:rsid w:val="006F7BA3"/>
    <w:rsid w:val="006F7EB8"/>
    <w:rsid w:val="0070042F"/>
    <w:rsid w:val="007006F1"/>
    <w:rsid w:val="0070098C"/>
    <w:rsid w:val="00700DD3"/>
    <w:rsid w:val="00701439"/>
    <w:rsid w:val="00701790"/>
    <w:rsid w:val="00701AD5"/>
    <w:rsid w:val="00701CC6"/>
    <w:rsid w:val="00701F89"/>
    <w:rsid w:val="00702CE4"/>
    <w:rsid w:val="0070301C"/>
    <w:rsid w:val="00703726"/>
    <w:rsid w:val="00703750"/>
    <w:rsid w:val="00703F19"/>
    <w:rsid w:val="0070427F"/>
    <w:rsid w:val="007048B0"/>
    <w:rsid w:val="00704938"/>
    <w:rsid w:val="00704AEA"/>
    <w:rsid w:val="00704E45"/>
    <w:rsid w:val="0070548F"/>
    <w:rsid w:val="0070561D"/>
    <w:rsid w:val="007056C6"/>
    <w:rsid w:val="007058F1"/>
    <w:rsid w:val="00705D6B"/>
    <w:rsid w:val="00706156"/>
    <w:rsid w:val="007066C1"/>
    <w:rsid w:val="0070678B"/>
    <w:rsid w:val="00706AA0"/>
    <w:rsid w:val="00706C01"/>
    <w:rsid w:val="00706C6A"/>
    <w:rsid w:val="00706D78"/>
    <w:rsid w:val="00707E2F"/>
    <w:rsid w:val="00707F62"/>
    <w:rsid w:val="00710053"/>
    <w:rsid w:val="0071042C"/>
    <w:rsid w:val="00710692"/>
    <w:rsid w:val="0071071D"/>
    <w:rsid w:val="00710D93"/>
    <w:rsid w:val="0071176F"/>
    <w:rsid w:val="00711958"/>
    <w:rsid w:val="00711BA1"/>
    <w:rsid w:val="00711BC3"/>
    <w:rsid w:val="00711D89"/>
    <w:rsid w:val="007121CF"/>
    <w:rsid w:val="00712305"/>
    <w:rsid w:val="00712AAB"/>
    <w:rsid w:val="007132D3"/>
    <w:rsid w:val="00713486"/>
    <w:rsid w:val="00713A22"/>
    <w:rsid w:val="00713B16"/>
    <w:rsid w:val="00713DC7"/>
    <w:rsid w:val="00714083"/>
    <w:rsid w:val="007140DD"/>
    <w:rsid w:val="0071424C"/>
    <w:rsid w:val="00714633"/>
    <w:rsid w:val="00714A63"/>
    <w:rsid w:val="00714B19"/>
    <w:rsid w:val="00714B64"/>
    <w:rsid w:val="00714CCE"/>
    <w:rsid w:val="00715076"/>
    <w:rsid w:val="007151ED"/>
    <w:rsid w:val="00715291"/>
    <w:rsid w:val="007152B5"/>
    <w:rsid w:val="00715686"/>
    <w:rsid w:val="00715EDA"/>
    <w:rsid w:val="00716368"/>
    <w:rsid w:val="007163B8"/>
    <w:rsid w:val="00716426"/>
    <w:rsid w:val="0071645C"/>
    <w:rsid w:val="00716DFA"/>
    <w:rsid w:val="00716DFF"/>
    <w:rsid w:val="007170A8"/>
    <w:rsid w:val="0071713E"/>
    <w:rsid w:val="00717B4E"/>
    <w:rsid w:val="00717E64"/>
    <w:rsid w:val="00717EAD"/>
    <w:rsid w:val="0072029C"/>
    <w:rsid w:val="00720682"/>
    <w:rsid w:val="0072075F"/>
    <w:rsid w:val="00720A9D"/>
    <w:rsid w:val="00720E61"/>
    <w:rsid w:val="00720ED7"/>
    <w:rsid w:val="00721042"/>
    <w:rsid w:val="00721429"/>
    <w:rsid w:val="007216C9"/>
    <w:rsid w:val="00721F22"/>
    <w:rsid w:val="007226CA"/>
    <w:rsid w:val="007227B5"/>
    <w:rsid w:val="00722A23"/>
    <w:rsid w:val="0072306D"/>
    <w:rsid w:val="007230D9"/>
    <w:rsid w:val="007231CD"/>
    <w:rsid w:val="00723437"/>
    <w:rsid w:val="007234D2"/>
    <w:rsid w:val="0072355A"/>
    <w:rsid w:val="00723596"/>
    <w:rsid w:val="0072388D"/>
    <w:rsid w:val="007240AA"/>
    <w:rsid w:val="007241F9"/>
    <w:rsid w:val="0072437A"/>
    <w:rsid w:val="00724405"/>
    <w:rsid w:val="007244C3"/>
    <w:rsid w:val="00724507"/>
    <w:rsid w:val="00724559"/>
    <w:rsid w:val="00724628"/>
    <w:rsid w:val="00724960"/>
    <w:rsid w:val="00724B55"/>
    <w:rsid w:val="007253B8"/>
    <w:rsid w:val="007256CA"/>
    <w:rsid w:val="0072578E"/>
    <w:rsid w:val="00725A9C"/>
    <w:rsid w:val="00725B37"/>
    <w:rsid w:val="00725C6F"/>
    <w:rsid w:val="00725FAD"/>
    <w:rsid w:val="00726048"/>
    <w:rsid w:val="00726295"/>
    <w:rsid w:val="00726798"/>
    <w:rsid w:val="00726A34"/>
    <w:rsid w:val="00726A9F"/>
    <w:rsid w:val="00726B57"/>
    <w:rsid w:val="00726CFC"/>
    <w:rsid w:val="00726F97"/>
    <w:rsid w:val="00727057"/>
    <w:rsid w:val="007270FB"/>
    <w:rsid w:val="00730043"/>
    <w:rsid w:val="0073027F"/>
    <w:rsid w:val="007303FB"/>
    <w:rsid w:val="007309AF"/>
    <w:rsid w:val="00730E64"/>
    <w:rsid w:val="00730F92"/>
    <w:rsid w:val="00731770"/>
    <w:rsid w:val="00731AF9"/>
    <w:rsid w:val="00731C7B"/>
    <w:rsid w:val="00731DDC"/>
    <w:rsid w:val="007327F5"/>
    <w:rsid w:val="00732ABD"/>
    <w:rsid w:val="00732D17"/>
    <w:rsid w:val="007330CB"/>
    <w:rsid w:val="0073347C"/>
    <w:rsid w:val="00733523"/>
    <w:rsid w:val="00733886"/>
    <w:rsid w:val="007338BF"/>
    <w:rsid w:val="00733EF2"/>
    <w:rsid w:val="00734286"/>
    <w:rsid w:val="0073453F"/>
    <w:rsid w:val="007345F5"/>
    <w:rsid w:val="0073485C"/>
    <w:rsid w:val="00734879"/>
    <w:rsid w:val="00734AC3"/>
    <w:rsid w:val="00734B26"/>
    <w:rsid w:val="00734C95"/>
    <w:rsid w:val="00734C99"/>
    <w:rsid w:val="00734D7E"/>
    <w:rsid w:val="007351F0"/>
    <w:rsid w:val="007354D3"/>
    <w:rsid w:val="007355FF"/>
    <w:rsid w:val="00735BBC"/>
    <w:rsid w:val="00735DE9"/>
    <w:rsid w:val="007360A4"/>
    <w:rsid w:val="007361AF"/>
    <w:rsid w:val="007365A9"/>
    <w:rsid w:val="0073677B"/>
    <w:rsid w:val="00736922"/>
    <w:rsid w:val="00736995"/>
    <w:rsid w:val="00736BF4"/>
    <w:rsid w:val="00736F8E"/>
    <w:rsid w:val="0073714E"/>
    <w:rsid w:val="0073715C"/>
    <w:rsid w:val="007372AA"/>
    <w:rsid w:val="007374C3"/>
    <w:rsid w:val="00737573"/>
    <w:rsid w:val="0073797A"/>
    <w:rsid w:val="00737AE9"/>
    <w:rsid w:val="00740078"/>
    <w:rsid w:val="00740209"/>
    <w:rsid w:val="007404DC"/>
    <w:rsid w:val="007406AD"/>
    <w:rsid w:val="00740752"/>
    <w:rsid w:val="007409F8"/>
    <w:rsid w:val="00740C68"/>
    <w:rsid w:val="00741498"/>
    <w:rsid w:val="007415BB"/>
    <w:rsid w:val="0074175A"/>
    <w:rsid w:val="007417F3"/>
    <w:rsid w:val="007418C8"/>
    <w:rsid w:val="00741A90"/>
    <w:rsid w:val="00741BB7"/>
    <w:rsid w:val="00741BFC"/>
    <w:rsid w:val="00742D90"/>
    <w:rsid w:val="00742FC3"/>
    <w:rsid w:val="007436D0"/>
    <w:rsid w:val="00743B18"/>
    <w:rsid w:val="00743BA9"/>
    <w:rsid w:val="00743CD2"/>
    <w:rsid w:val="007443BD"/>
    <w:rsid w:val="00744591"/>
    <w:rsid w:val="00744A14"/>
    <w:rsid w:val="00744FA1"/>
    <w:rsid w:val="0074527A"/>
    <w:rsid w:val="0074541C"/>
    <w:rsid w:val="00745684"/>
    <w:rsid w:val="007457FA"/>
    <w:rsid w:val="007459E3"/>
    <w:rsid w:val="00745E71"/>
    <w:rsid w:val="0074610D"/>
    <w:rsid w:val="00746195"/>
    <w:rsid w:val="0074626B"/>
    <w:rsid w:val="007464AE"/>
    <w:rsid w:val="00746658"/>
    <w:rsid w:val="00746979"/>
    <w:rsid w:val="00746C01"/>
    <w:rsid w:val="00746FEE"/>
    <w:rsid w:val="00747010"/>
    <w:rsid w:val="007470E9"/>
    <w:rsid w:val="00747280"/>
    <w:rsid w:val="007476B2"/>
    <w:rsid w:val="007479B6"/>
    <w:rsid w:val="0075007B"/>
    <w:rsid w:val="007500A6"/>
    <w:rsid w:val="007500B0"/>
    <w:rsid w:val="00750371"/>
    <w:rsid w:val="0075043B"/>
    <w:rsid w:val="00750800"/>
    <w:rsid w:val="00750920"/>
    <w:rsid w:val="00750CBB"/>
    <w:rsid w:val="0075107F"/>
    <w:rsid w:val="0075113F"/>
    <w:rsid w:val="00751592"/>
    <w:rsid w:val="00751833"/>
    <w:rsid w:val="0075190C"/>
    <w:rsid w:val="00751AE5"/>
    <w:rsid w:val="00751FE6"/>
    <w:rsid w:val="00751FF1"/>
    <w:rsid w:val="00752270"/>
    <w:rsid w:val="00752394"/>
    <w:rsid w:val="00752895"/>
    <w:rsid w:val="007528B1"/>
    <w:rsid w:val="00752C54"/>
    <w:rsid w:val="00752CD8"/>
    <w:rsid w:val="00753025"/>
    <w:rsid w:val="00753085"/>
    <w:rsid w:val="00753279"/>
    <w:rsid w:val="007534CD"/>
    <w:rsid w:val="0075350D"/>
    <w:rsid w:val="00753525"/>
    <w:rsid w:val="00753A79"/>
    <w:rsid w:val="00753AE1"/>
    <w:rsid w:val="00753F2F"/>
    <w:rsid w:val="00753FDA"/>
    <w:rsid w:val="0075401B"/>
    <w:rsid w:val="007544F5"/>
    <w:rsid w:val="00754694"/>
    <w:rsid w:val="00754861"/>
    <w:rsid w:val="00754BE1"/>
    <w:rsid w:val="00754BF8"/>
    <w:rsid w:val="00754C1A"/>
    <w:rsid w:val="00755358"/>
    <w:rsid w:val="00755750"/>
    <w:rsid w:val="007558BC"/>
    <w:rsid w:val="00755C91"/>
    <w:rsid w:val="00755D22"/>
    <w:rsid w:val="00755D3A"/>
    <w:rsid w:val="007561F6"/>
    <w:rsid w:val="00756275"/>
    <w:rsid w:val="00756295"/>
    <w:rsid w:val="0075652A"/>
    <w:rsid w:val="007570A0"/>
    <w:rsid w:val="00757149"/>
    <w:rsid w:val="00757487"/>
    <w:rsid w:val="00757594"/>
    <w:rsid w:val="00757706"/>
    <w:rsid w:val="00757D11"/>
    <w:rsid w:val="00757E71"/>
    <w:rsid w:val="00757F1C"/>
    <w:rsid w:val="0076005C"/>
    <w:rsid w:val="007600DE"/>
    <w:rsid w:val="0076032B"/>
    <w:rsid w:val="0076034B"/>
    <w:rsid w:val="00760561"/>
    <w:rsid w:val="00760622"/>
    <w:rsid w:val="00760672"/>
    <w:rsid w:val="0076099E"/>
    <w:rsid w:val="00760BD0"/>
    <w:rsid w:val="00760CAA"/>
    <w:rsid w:val="00760CBD"/>
    <w:rsid w:val="007615D6"/>
    <w:rsid w:val="00761966"/>
    <w:rsid w:val="007619B0"/>
    <w:rsid w:val="00761A1E"/>
    <w:rsid w:val="0076213C"/>
    <w:rsid w:val="007621ED"/>
    <w:rsid w:val="0076267A"/>
    <w:rsid w:val="0076267C"/>
    <w:rsid w:val="00762BA8"/>
    <w:rsid w:val="007631A2"/>
    <w:rsid w:val="00763325"/>
    <w:rsid w:val="007634B4"/>
    <w:rsid w:val="0076358B"/>
    <w:rsid w:val="00763728"/>
    <w:rsid w:val="00763758"/>
    <w:rsid w:val="00763957"/>
    <w:rsid w:val="00763982"/>
    <w:rsid w:val="00764115"/>
    <w:rsid w:val="00764394"/>
    <w:rsid w:val="0076446D"/>
    <w:rsid w:val="0076470A"/>
    <w:rsid w:val="00764952"/>
    <w:rsid w:val="00764A64"/>
    <w:rsid w:val="00764B72"/>
    <w:rsid w:val="00764C98"/>
    <w:rsid w:val="00764E7C"/>
    <w:rsid w:val="007650B6"/>
    <w:rsid w:val="00765BA8"/>
    <w:rsid w:val="00766091"/>
    <w:rsid w:val="007669FB"/>
    <w:rsid w:val="00766D5A"/>
    <w:rsid w:val="00766D9F"/>
    <w:rsid w:val="00766DCA"/>
    <w:rsid w:val="00766ED0"/>
    <w:rsid w:val="00766EE1"/>
    <w:rsid w:val="00766FD0"/>
    <w:rsid w:val="007674E6"/>
    <w:rsid w:val="0076788A"/>
    <w:rsid w:val="00767979"/>
    <w:rsid w:val="00767D91"/>
    <w:rsid w:val="00767DDE"/>
    <w:rsid w:val="00770389"/>
    <w:rsid w:val="007705A8"/>
    <w:rsid w:val="00770A47"/>
    <w:rsid w:val="00770B24"/>
    <w:rsid w:val="00771119"/>
    <w:rsid w:val="00771526"/>
    <w:rsid w:val="007716F7"/>
    <w:rsid w:val="00771760"/>
    <w:rsid w:val="00771787"/>
    <w:rsid w:val="0077182D"/>
    <w:rsid w:val="007719BF"/>
    <w:rsid w:val="00771BF8"/>
    <w:rsid w:val="00771F43"/>
    <w:rsid w:val="0077206A"/>
    <w:rsid w:val="00772398"/>
    <w:rsid w:val="007723F5"/>
    <w:rsid w:val="007724F3"/>
    <w:rsid w:val="00772968"/>
    <w:rsid w:val="00773417"/>
    <w:rsid w:val="007734A2"/>
    <w:rsid w:val="00773693"/>
    <w:rsid w:val="00773C61"/>
    <w:rsid w:val="00773CB8"/>
    <w:rsid w:val="00773D29"/>
    <w:rsid w:val="00773E49"/>
    <w:rsid w:val="0077446C"/>
    <w:rsid w:val="007744D0"/>
    <w:rsid w:val="00774772"/>
    <w:rsid w:val="00774AEB"/>
    <w:rsid w:val="00774EFD"/>
    <w:rsid w:val="007755F0"/>
    <w:rsid w:val="007755FC"/>
    <w:rsid w:val="00775A07"/>
    <w:rsid w:val="00775A8A"/>
    <w:rsid w:val="0077601F"/>
    <w:rsid w:val="00776317"/>
    <w:rsid w:val="007765C0"/>
    <w:rsid w:val="00776C62"/>
    <w:rsid w:val="00776D26"/>
    <w:rsid w:val="00776EC3"/>
    <w:rsid w:val="00776F81"/>
    <w:rsid w:val="007770DE"/>
    <w:rsid w:val="00777830"/>
    <w:rsid w:val="007779FE"/>
    <w:rsid w:val="00777D7A"/>
    <w:rsid w:val="00777E55"/>
    <w:rsid w:val="00777F54"/>
    <w:rsid w:val="007801CD"/>
    <w:rsid w:val="007801EE"/>
    <w:rsid w:val="0078066A"/>
    <w:rsid w:val="007806CD"/>
    <w:rsid w:val="00780C9C"/>
    <w:rsid w:val="00780E19"/>
    <w:rsid w:val="00780F29"/>
    <w:rsid w:val="00781114"/>
    <w:rsid w:val="00781252"/>
    <w:rsid w:val="007819B5"/>
    <w:rsid w:val="007819E8"/>
    <w:rsid w:val="00781BF3"/>
    <w:rsid w:val="00782164"/>
    <w:rsid w:val="0078220B"/>
    <w:rsid w:val="007827DA"/>
    <w:rsid w:val="00782994"/>
    <w:rsid w:val="00782B51"/>
    <w:rsid w:val="00782B91"/>
    <w:rsid w:val="00782F84"/>
    <w:rsid w:val="0078336A"/>
    <w:rsid w:val="007833F0"/>
    <w:rsid w:val="0078370D"/>
    <w:rsid w:val="00783C23"/>
    <w:rsid w:val="00784061"/>
    <w:rsid w:val="0078415F"/>
    <w:rsid w:val="007842B9"/>
    <w:rsid w:val="00784517"/>
    <w:rsid w:val="00784625"/>
    <w:rsid w:val="00784964"/>
    <w:rsid w:val="00784ACE"/>
    <w:rsid w:val="00784E71"/>
    <w:rsid w:val="007853D4"/>
    <w:rsid w:val="00785E60"/>
    <w:rsid w:val="00786086"/>
    <w:rsid w:val="007860E1"/>
    <w:rsid w:val="007860E4"/>
    <w:rsid w:val="0078646D"/>
    <w:rsid w:val="00786694"/>
    <w:rsid w:val="007868C0"/>
    <w:rsid w:val="00786936"/>
    <w:rsid w:val="0078695F"/>
    <w:rsid w:val="0078771A"/>
    <w:rsid w:val="007877C9"/>
    <w:rsid w:val="00787852"/>
    <w:rsid w:val="00787A30"/>
    <w:rsid w:val="0079012A"/>
    <w:rsid w:val="00790322"/>
    <w:rsid w:val="00790386"/>
    <w:rsid w:val="007905C8"/>
    <w:rsid w:val="00790730"/>
    <w:rsid w:val="007907A3"/>
    <w:rsid w:val="007907E1"/>
    <w:rsid w:val="00790883"/>
    <w:rsid w:val="00791000"/>
    <w:rsid w:val="00791103"/>
    <w:rsid w:val="00791173"/>
    <w:rsid w:val="00791307"/>
    <w:rsid w:val="0079152A"/>
    <w:rsid w:val="00791920"/>
    <w:rsid w:val="007920D4"/>
    <w:rsid w:val="007922DF"/>
    <w:rsid w:val="00792947"/>
    <w:rsid w:val="00792BE6"/>
    <w:rsid w:val="00793179"/>
    <w:rsid w:val="0079324D"/>
    <w:rsid w:val="007934AC"/>
    <w:rsid w:val="00793AB4"/>
    <w:rsid w:val="00793F33"/>
    <w:rsid w:val="00794339"/>
    <w:rsid w:val="00794458"/>
    <w:rsid w:val="0079486B"/>
    <w:rsid w:val="00794E49"/>
    <w:rsid w:val="00794F2C"/>
    <w:rsid w:val="00795395"/>
    <w:rsid w:val="007954DB"/>
    <w:rsid w:val="00795F5C"/>
    <w:rsid w:val="0079608B"/>
    <w:rsid w:val="00796528"/>
    <w:rsid w:val="007969B5"/>
    <w:rsid w:val="00796AB9"/>
    <w:rsid w:val="00796D77"/>
    <w:rsid w:val="00796FCB"/>
    <w:rsid w:val="0079777B"/>
    <w:rsid w:val="00797B19"/>
    <w:rsid w:val="00797C52"/>
    <w:rsid w:val="007A02F6"/>
    <w:rsid w:val="007A04D3"/>
    <w:rsid w:val="007A0529"/>
    <w:rsid w:val="007A0894"/>
    <w:rsid w:val="007A096B"/>
    <w:rsid w:val="007A0A35"/>
    <w:rsid w:val="007A0B9A"/>
    <w:rsid w:val="007A1613"/>
    <w:rsid w:val="007A1C4A"/>
    <w:rsid w:val="007A1CC2"/>
    <w:rsid w:val="007A1CFE"/>
    <w:rsid w:val="007A1D46"/>
    <w:rsid w:val="007A1DFF"/>
    <w:rsid w:val="007A2041"/>
    <w:rsid w:val="007A2065"/>
    <w:rsid w:val="007A2192"/>
    <w:rsid w:val="007A247A"/>
    <w:rsid w:val="007A24CE"/>
    <w:rsid w:val="007A2820"/>
    <w:rsid w:val="007A2A11"/>
    <w:rsid w:val="007A2E32"/>
    <w:rsid w:val="007A2F3F"/>
    <w:rsid w:val="007A2FFE"/>
    <w:rsid w:val="007A3137"/>
    <w:rsid w:val="007A3144"/>
    <w:rsid w:val="007A3C48"/>
    <w:rsid w:val="007A3C9F"/>
    <w:rsid w:val="007A3FB3"/>
    <w:rsid w:val="007A3FF5"/>
    <w:rsid w:val="007A42A7"/>
    <w:rsid w:val="007A4590"/>
    <w:rsid w:val="007A4B04"/>
    <w:rsid w:val="007A4B74"/>
    <w:rsid w:val="007A4C9F"/>
    <w:rsid w:val="007A4D4B"/>
    <w:rsid w:val="007A4DE3"/>
    <w:rsid w:val="007A4DEC"/>
    <w:rsid w:val="007A503A"/>
    <w:rsid w:val="007A5310"/>
    <w:rsid w:val="007A5352"/>
    <w:rsid w:val="007A5379"/>
    <w:rsid w:val="007A56CF"/>
    <w:rsid w:val="007A58F0"/>
    <w:rsid w:val="007A6041"/>
    <w:rsid w:val="007A639A"/>
    <w:rsid w:val="007A696C"/>
    <w:rsid w:val="007A6A56"/>
    <w:rsid w:val="007A6ACA"/>
    <w:rsid w:val="007A6B11"/>
    <w:rsid w:val="007A6EAF"/>
    <w:rsid w:val="007A6ECF"/>
    <w:rsid w:val="007A6FA3"/>
    <w:rsid w:val="007A70FD"/>
    <w:rsid w:val="007A7257"/>
    <w:rsid w:val="007A76BE"/>
    <w:rsid w:val="007A771C"/>
    <w:rsid w:val="007A7892"/>
    <w:rsid w:val="007A7975"/>
    <w:rsid w:val="007A7ABB"/>
    <w:rsid w:val="007A7CCD"/>
    <w:rsid w:val="007A7E9E"/>
    <w:rsid w:val="007A7F42"/>
    <w:rsid w:val="007B0663"/>
    <w:rsid w:val="007B079D"/>
    <w:rsid w:val="007B09E3"/>
    <w:rsid w:val="007B0D77"/>
    <w:rsid w:val="007B0E48"/>
    <w:rsid w:val="007B1006"/>
    <w:rsid w:val="007B1020"/>
    <w:rsid w:val="007B1111"/>
    <w:rsid w:val="007B11FE"/>
    <w:rsid w:val="007B147E"/>
    <w:rsid w:val="007B1E8F"/>
    <w:rsid w:val="007B24FF"/>
    <w:rsid w:val="007B2517"/>
    <w:rsid w:val="007B2695"/>
    <w:rsid w:val="007B2705"/>
    <w:rsid w:val="007B2A07"/>
    <w:rsid w:val="007B2B17"/>
    <w:rsid w:val="007B2E66"/>
    <w:rsid w:val="007B2FD0"/>
    <w:rsid w:val="007B35C3"/>
    <w:rsid w:val="007B3771"/>
    <w:rsid w:val="007B381C"/>
    <w:rsid w:val="007B3ACC"/>
    <w:rsid w:val="007B3C32"/>
    <w:rsid w:val="007B3CE7"/>
    <w:rsid w:val="007B3DDD"/>
    <w:rsid w:val="007B474C"/>
    <w:rsid w:val="007B4A3B"/>
    <w:rsid w:val="007B4F1F"/>
    <w:rsid w:val="007B5407"/>
    <w:rsid w:val="007B57F6"/>
    <w:rsid w:val="007B5A7D"/>
    <w:rsid w:val="007B5CF4"/>
    <w:rsid w:val="007B5E90"/>
    <w:rsid w:val="007B5EB5"/>
    <w:rsid w:val="007B632B"/>
    <w:rsid w:val="007B648E"/>
    <w:rsid w:val="007B6872"/>
    <w:rsid w:val="007B6C95"/>
    <w:rsid w:val="007B6E39"/>
    <w:rsid w:val="007B707B"/>
    <w:rsid w:val="007B7331"/>
    <w:rsid w:val="007B7640"/>
    <w:rsid w:val="007B7821"/>
    <w:rsid w:val="007B7AB6"/>
    <w:rsid w:val="007B7F27"/>
    <w:rsid w:val="007B7F72"/>
    <w:rsid w:val="007C0294"/>
    <w:rsid w:val="007C0C6E"/>
    <w:rsid w:val="007C0D00"/>
    <w:rsid w:val="007C0DF6"/>
    <w:rsid w:val="007C1126"/>
    <w:rsid w:val="007C18CC"/>
    <w:rsid w:val="007C1A93"/>
    <w:rsid w:val="007C1FBC"/>
    <w:rsid w:val="007C23B7"/>
    <w:rsid w:val="007C2527"/>
    <w:rsid w:val="007C284E"/>
    <w:rsid w:val="007C2C80"/>
    <w:rsid w:val="007C2D37"/>
    <w:rsid w:val="007C31F6"/>
    <w:rsid w:val="007C3406"/>
    <w:rsid w:val="007C3684"/>
    <w:rsid w:val="007C3794"/>
    <w:rsid w:val="007C39D6"/>
    <w:rsid w:val="007C3AB1"/>
    <w:rsid w:val="007C4095"/>
    <w:rsid w:val="007C4637"/>
    <w:rsid w:val="007C47E0"/>
    <w:rsid w:val="007C5238"/>
    <w:rsid w:val="007C545C"/>
    <w:rsid w:val="007C5C41"/>
    <w:rsid w:val="007C5CB5"/>
    <w:rsid w:val="007C5FA9"/>
    <w:rsid w:val="007C5FE2"/>
    <w:rsid w:val="007C67A2"/>
    <w:rsid w:val="007C6B79"/>
    <w:rsid w:val="007C6EC2"/>
    <w:rsid w:val="007C6EE2"/>
    <w:rsid w:val="007C719C"/>
    <w:rsid w:val="007C72EA"/>
    <w:rsid w:val="007C7468"/>
    <w:rsid w:val="007C76CC"/>
    <w:rsid w:val="007C7951"/>
    <w:rsid w:val="007D0257"/>
    <w:rsid w:val="007D0EED"/>
    <w:rsid w:val="007D100B"/>
    <w:rsid w:val="007D12A0"/>
    <w:rsid w:val="007D12DC"/>
    <w:rsid w:val="007D1386"/>
    <w:rsid w:val="007D161F"/>
    <w:rsid w:val="007D166F"/>
    <w:rsid w:val="007D17D4"/>
    <w:rsid w:val="007D18B8"/>
    <w:rsid w:val="007D18F8"/>
    <w:rsid w:val="007D2024"/>
    <w:rsid w:val="007D2243"/>
    <w:rsid w:val="007D2907"/>
    <w:rsid w:val="007D2B06"/>
    <w:rsid w:val="007D328E"/>
    <w:rsid w:val="007D3698"/>
    <w:rsid w:val="007D3B16"/>
    <w:rsid w:val="007D3C36"/>
    <w:rsid w:val="007D3EB4"/>
    <w:rsid w:val="007D3F12"/>
    <w:rsid w:val="007D40F4"/>
    <w:rsid w:val="007D4307"/>
    <w:rsid w:val="007D4B94"/>
    <w:rsid w:val="007D4E06"/>
    <w:rsid w:val="007D4E29"/>
    <w:rsid w:val="007D4FAB"/>
    <w:rsid w:val="007D514D"/>
    <w:rsid w:val="007D5332"/>
    <w:rsid w:val="007D533D"/>
    <w:rsid w:val="007D54D3"/>
    <w:rsid w:val="007D575D"/>
    <w:rsid w:val="007D58DF"/>
    <w:rsid w:val="007D5B43"/>
    <w:rsid w:val="007D5C64"/>
    <w:rsid w:val="007D5CE2"/>
    <w:rsid w:val="007D6015"/>
    <w:rsid w:val="007D6239"/>
    <w:rsid w:val="007D63B0"/>
    <w:rsid w:val="007D63F5"/>
    <w:rsid w:val="007D65FC"/>
    <w:rsid w:val="007D66FA"/>
    <w:rsid w:val="007D6C01"/>
    <w:rsid w:val="007D6C80"/>
    <w:rsid w:val="007D6D60"/>
    <w:rsid w:val="007D6EC5"/>
    <w:rsid w:val="007D72D2"/>
    <w:rsid w:val="007D7528"/>
    <w:rsid w:val="007D7646"/>
    <w:rsid w:val="007D7F9E"/>
    <w:rsid w:val="007E00B4"/>
    <w:rsid w:val="007E01BF"/>
    <w:rsid w:val="007E01E4"/>
    <w:rsid w:val="007E0228"/>
    <w:rsid w:val="007E032F"/>
    <w:rsid w:val="007E0538"/>
    <w:rsid w:val="007E08BA"/>
    <w:rsid w:val="007E0AC9"/>
    <w:rsid w:val="007E0B53"/>
    <w:rsid w:val="007E0C30"/>
    <w:rsid w:val="007E0C53"/>
    <w:rsid w:val="007E0FE0"/>
    <w:rsid w:val="007E127D"/>
    <w:rsid w:val="007E12AC"/>
    <w:rsid w:val="007E1767"/>
    <w:rsid w:val="007E184C"/>
    <w:rsid w:val="007E1A9F"/>
    <w:rsid w:val="007E2617"/>
    <w:rsid w:val="007E2970"/>
    <w:rsid w:val="007E2A9E"/>
    <w:rsid w:val="007E32C9"/>
    <w:rsid w:val="007E3939"/>
    <w:rsid w:val="007E3EFD"/>
    <w:rsid w:val="007E4017"/>
    <w:rsid w:val="007E4160"/>
    <w:rsid w:val="007E434A"/>
    <w:rsid w:val="007E4549"/>
    <w:rsid w:val="007E47E2"/>
    <w:rsid w:val="007E4B60"/>
    <w:rsid w:val="007E4C93"/>
    <w:rsid w:val="007E4D70"/>
    <w:rsid w:val="007E4E8D"/>
    <w:rsid w:val="007E4FE2"/>
    <w:rsid w:val="007E5033"/>
    <w:rsid w:val="007E52C6"/>
    <w:rsid w:val="007E52EF"/>
    <w:rsid w:val="007E5A76"/>
    <w:rsid w:val="007E5B4D"/>
    <w:rsid w:val="007E5E7F"/>
    <w:rsid w:val="007E649E"/>
    <w:rsid w:val="007E659D"/>
    <w:rsid w:val="007E6711"/>
    <w:rsid w:val="007E6725"/>
    <w:rsid w:val="007E69D1"/>
    <w:rsid w:val="007E6DE6"/>
    <w:rsid w:val="007E6F58"/>
    <w:rsid w:val="007E6FE5"/>
    <w:rsid w:val="007E78CA"/>
    <w:rsid w:val="007E7A90"/>
    <w:rsid w:val="007E7CF5"/>
    <w:rsid w:val="007E7D36"/>
    <w:rsid w:val="007E7D5C"/>
    <w:rsid w:val="007E7E8C"/>
    <w:rsid w:val="007F02B3"/>
    <w:rsid w:val="007F0485"/>
    <w:rsid w:val="007F0EBE"/>
    <w:rsid w:val="007F110A"/>
    <w:rsid w:val="007F123E"/>
    <w:rsid w:val="007F1341"/>
    <w:rsid w:val="007F13EE"/>
    <w:rsid w:val="007F155B"/>
    <w:rsid w:val="007F1697"/>
    <w:rsid w:val="007F190C"/>
    <w:rsid w:val="007F1A50"/>
    <w:rsid w:val="007F1D7B"/>
    <w:rsid w:val="007F1D85"/>
    <w:rsid w:val="007F24DB"/>
    <w:rsid w:val="007F255F"/>
    <w:rsid w:val="007F34BD"/>
    <w:rsid w:val="007F39F8"/>
    <w:rsid w:val="007F3A97"/>
    <w:rsid w:val="007F3CD6"/>
    <w:rsid w:val="007F43CE"/>
    <w:rsid w:val="007F43FF"/>
    <w:rsid w:val="007F4794"/>
    <w:rsid w:val="007F4861"/>
    <w:rsid w:val="007F4AF8"/>
    <w:rsid w:val="007F4B8D"/>
    <w:rsid w:val="007F4D1B"/>
    <w:rsid w:val="007F4D74"/>
    <w:rsid w:val="007F4E8E"/>
    <w:rsid w:val="007F5489"/>
    <w:rsid w:val="007F59FA"/>
    <w:rsid w:val="007F5CEE"/>
    <w:rsid w:val="007F6BC5"/>
    <w:rsid w:val="007F6E0E"/>
    <w:rsid w:val="007F6EAF"/>
    <w:rsid w:val="007F7179"/>
    <w:rsid w:val="007F7414"/>
    <w:rsid w:val="007F74F7"/>
    <w:rsid w:val="007F7BAE"/>
    <w:rsid w:val="007F7D48"/>
    <w:rsid w:val="007F7E27"/>
    <w:rsid w:val="007F7FFE"/>
    <w:rsid w:val="008000D4"/>
    <w:rsid w:val="0080108F"/>
    <w:rsid w:val="00801332"/>
    <w:rsid w:val="00801724"/>
    <w:rsid w:val="0080185A"/>
    <w:rsid w:val="008018F1"/>
    <w:rsid w:val="00801F2B"/>
    <w:rsid w:val="008026BC"/>
    <w:rsid w:val="00802819"/>
    <w:rsid w:val="008029E4"/>
    <w:rsid w:val="00802A59"/>
    <w:rsid w:val="00802D1F"/>
    <w:rsid w:val="008034F7"/>
    <w:rsid w:val="00803547"/>
    <w:rsid w:val="008039F0"/>
    <w:rsid w:val="00803D75"/>
    <w:rsid w:val="008041BA"/>
    <w:rsid w:val="008046A1"/>
    <w:rsid w:val="008048D8"/>
    <w:rsid w:val="00804BE1"/>
    <w:rsid w:val="00804F6D"/>
    <w:rsid w:val="00805139"/>
    <w:rsid w:val="008051DE"/>
    <w:rsid w:val="00805441"/>
    <w:rsid w:val="0080548E"/>
    <w:rsid w:val="0080551D"/>
    <w:rsid w:val="00805893"/>
    <w:rsid w:val="00805C54"/>
    <w:rsid w:val="00805CBA"/>
    <w:rsid w:val="00806A01"/>
    <w:rsid w:val="00806D6B"/>
    <w:rsid w:val="00806D7A"/>
    <w:rsid w:val="00806F6F"/>
    <w:rsid w:val="00807065"/>
    <w:rsid w:val="008070B0"/>
    <w:rsid w:val="00807294"/>
    <w:rsid w:val="00810083"/>
    <w:rsid w:val="008101DB"/>
    <w:rsid w:val="008108EB"/>
    <w:rsid w:val="00810AA6"/>
    <w:rsid w:val="00811064"/>
    <w:rsid w:val="00811091"/>
    <w:rsid w:val="008112C4"/>
    <w:rsid w:val="008113D9"/>
    <w:rsid w:val="0081166B"/>
    <w:rsid w:val="00811742"/>
    <w:rsid w:val="00811785"/>
    <w:rsid w:val="008117DA"/>
    <w:rsid w:val="00811B6F"/>
    <w:rsid w:val="00811C0D"/>
    <w:rsid w:val="00811D20"/>
    <w:rsid w:val="00812BB6"/>
    <w:rsid w:val="00812C43"/>
    <w:rsid w:val="00813102"/>
    <w:rsid w:val="008134AD"/>
    <w:rsid w:val="00813A8C"/>
    <w:rsid w:val="00814058"/>
    <w:rsid w:val="00814064"/>
    <w:rsid w:val="0081428A"/>
    <w:rsid w:val="008142F2"/>
    <w:rsid w:val="008144B2"/>
    <w:rsid w:val="00814A16"/>
    <w:rsid w:val="00814AF9"/>
    <w:rsid w:val="00815088"/>
    <w:rsid w:val="0081549C"/>
    <w:rsid w:val="008158EA"/>
    <w:rsid w:val="008159CD"/>
    <w:rsid w:val="00815B5F"/>
    <w:rsid w:val="00815F71"/>
    <w:rsid w:val="00816069"/>
    <w:rsid w:val="00816093"/>
    <w:rsid w:val="0081636E"/>
    <w:rsid w:val="0081645D"/>
    <w:rsid w:val="0081656F"/>
    <w:rsid w:val="00816A63"/>
    <w:rsid w:val="00816F84"/>
    <w:rsid w:val="00817077"/>
    <w:rsid w:val="00817091"/>
    <w:rsid w:val="008171B1"/>
    <w:rsid w:val="008172B1"/>
    <w:rsid w:val="0081775C"/>
    <w:rsid w:val="0081787A"/>
    <w:rsid w:val="008179A9"/>
    <w:rsid w:val="00817CC1"/>
    <w:rsid w:val="00817EC9"/>
    <w:rsid w:val="00817EEF"/>
    <w:rsid w:val="00817FBB"/>
    <w:rsid w:val="008202B2"/>
    <w:rsid w:val="00820635"/>
    <w:rsid w:val="008208AC"/>
    <w:rsid w:val="00820A33"/>
    <w:rsid w:val="00820DA0"/>
    <w:rsid w:val="00820E19"/>
    <w:rsid w:val="00821332"/>
    <w:rsid w:val="008219F1"/>
    <w:rsid w:val="00821E46"/>
    <w:rsid w:val="00821F4D"/>
    <w:rsid w:val="00822553"/>
    <w:rsid w:val="00822C72"/>
    <w:rsid w:val="00822E02"/>
    <w:rsid w:val="00822E7D"/>
    <w:rsid w:val="0082329E"/>
    <w:rsid w:val="008233CA"/>
    <w:rsid w:val="00823407"/>
    <w:rsid w:val="008239B1"/>
    <w:rsid w:val="00824379"/>
    <w:rsid w:val="00824427"/>
    <w:rsid w:val="0082449A"/>
    <w:rsid w:val="00824581"/>
    <w:rsid w:val="00824AA6"/>
    <w:rsid w:val="00824E3B"/>
    <w:rsid w:val="00824F72"/>
    <w:rsid w:val="00825875"/>
    <w:rsid w:val="0082589C"/>
    <w:rsid w:val="008261DA"/>
    <w:rsid w:val="008263CF"/>
    <w:rsid w:val="008265C7"/>
    <w:rsid w:val="00827452"/>
    <w:rsid w:val="00827468"/>
    <w:rsid w:val="0082786E"/>
    <w:rsid w:val="0083030E"/>
    <w:rsid w:val="0083043E"/>
    <w:rsid w:val="00830B37"/>
    <w:rsid w:val="00830F2D"/>
    <w:rsid w:val="00830F40"/>
    <w:rsid w:val="00830FE6"/>
    <w:rsid w:val="00831212"/>
    <w:rsid w:val="0083122A"/>
    <w:rsid w:val="00831558"/>
    <w:rsid w:val="00831567"/>
    <w:rsid w:val="008317C7"/>
    <w:rsid w:val="00831897"/>
    <w:rsid w:val="0083190C"/>
    <w:rsid w:val="00831F99"/>
    <w:rsid w:val="0083200E"/>
    <w:rsid w:val="0083214F"/>
    <w:rsid w:val="0083273D"/>
    <w:rsid w:val="0083274B"/>
    <w:rsid w:val="00832D8B"/>
    <w:rsid w:val="00832EC6"/>
    <w:rsid w:val="0083333F"/>
    <w:rsid w:val="0083360D"/>
    <w:rsid w:val="00833627"/>
    <w:rsid w:val="00833717"/>
    <w:rsid w:val="008339D6"/>
    <w:rsid w:val="00833A6C"/>
    <w:rsid w:val="00833CC0"/>
    <w:rsid w:val="008343CC"/>
    <w:rsid w:val="0083460F"/>
    <w:rsid w:val="00834610"/>
    <w:rsid w:val="0083470F"/>
    <w:rsid w:val="00834AA8"/>
    <w:rsid w:val="00834AE7"/>
    <w:rsid w:val="00834B15"/>
    <w:rsid w:val="00834B32"/>
    <w:rsid w:val="008350C8"/>
    <w:rsid w:val="008350D2"/>
    <w:rsid w:val="00835151"/>
    <w:rsid w:val="008353D4"/>
    <w:rsid w:val="008358B6"/>
    <w:rsid w:val="00835AFE"/>
    <w:rsid w:val="00835C1B"/>
    <w:rsid w:val="00836017"/>
    <w:rsid w:val="008360B5"/>
    <w:rsid w:val="00836246"/>
    <w:rsid w:val="008367F0"/>
    <w:rsid w:val="00836A1B"/>
    <w:rsid w:val="00836C18"/>
    <w:rsid w:val="00836C2C"/>
    <w:rsid w:val="00836D95"/>
    <w:rsid w:val="00836F74"/>
    <w:rsid w:val="008370F4"/>
    <w:rsid w:val="00837191"/>
    <w:rsid w:val="008375F9"/>
    <w:rsid w:val="008379E4"/>
    <w:rsid w:val="00837C4A"/>
    <w:rsid w:val="008401A2"/>
    <w:rsid w:val="0084021D"/>
    <w:rsid w:val="00840278"/>
    <w:rsid w:val="00840368"/>
    <w:rsid w:val="008405DA"/>
    <w:rsid w:val="008405E9"/>
    <w:rsid w:val="00840CC2"/>
    <w:rsid w:val="00840E01"/>
    <w:rsid w:val="00840F8A"/>
    <w:rsid w:val="0084113E"/>
    <w:rsid w:val="00841305"/>
    <w:rsid w:val="0084141C"/>
    <w:rsid w:val="00841427"/>
    <w:rsid w:val="00841654"/>
    <w:rsid w:val="00841952"/>
    <w:rsid w:val="00841A2B"/>
    <w:rsid w:val="00841B0C"/>
    <w:rsid w:val="00841BBC"/>
    <w:rsid w:val="00841EA4"/>
    <w:rsid w:val="00841FC0"/>
    <w:rsid w:val="008420B2"/>
    <w:rsid w:val="008421FF"/>
    <w:rsid w:val="008426A2"/>
    <w:rsid w:val="008426F8"/>
    <w:rsid w:val="00842AF1"/>
    <w:rsid w:val="00842B0C"/>
    <w:rsid w:val="00842B3B"/>
    <w:rsid w:val="00842C80"/>
    <w:rsid w:val="00842E39"/>
    <w:rsid w:val="00842E90"/>
    <w:rsid w:val="00842F63"/>
    <w:rsid w:val="00842FB5"/>
    <w:rsid w:val="008431F8"/>
    <w:rsid w:val="00843699"/>
    <w:rsid w:val="008436BC"/>
    <w:rsid w:val="0084372B"/>
    <w:rsid w:val="008437AA"/>
    <w:rsid w:val="00843822"/>
    <w:rsid w:val="008438B6"/>
    <w:rsid w:val="00843B49"/>
    <w:rsid w:val="00843D77"/>
    <w:rsid w:val="00843E15"/>
    <w:rsid w:val="00844277"/>
    <w:rsid w:val="0084460A"/>
    <w:rsid w:val="00844835"/>
    <w:rsid w:val="00844E33"/>
    <w:rsid w:val="00844EBD"/>
    <w:rsid w:val="00845202"/>
    <w:rsid w:val="0084524D"/>
    <w:rsid w:val="00845528"/>
    <w:rsid w:val="00845824"/>
    <w:rsid w:val="00845B9B"/>
    <w:rsid w:val="00845D12"/>
    <w:rsid w:val="00845E67"/>
    <w:rsid w:val="00845F93"/>
    <w:rsid w:val="00846124"/>
    <w:rsid w:val="0084630C"/>
    <w:rsid w:val="0084647B"/>
    <w:rsid w:val="0084648A"/>
    <w:rsid w:val="008468DC"/>
    <w:rsid w:val="00846F36"/>
    <w:rsid w:val="0084700D"/>
    <w:rsid w:val="00847CE5"/>
    <w:rsid w:val="00847E30"/>
    <w:rsid w:val="00850047"/>
    <w:rsid w:val="008502B5"/>
    <w:rsid w:val="00850CCD"/>
    <w:rsid w:val="00850D6D"/>
    <w:rsid w:val="00850E1B"/>
    <w:rsid w:val="00850F4B"/>
    <w:rsid w:val="00851430"/>
    <w:rsid w:val="00851438"/>
    <w:rsid w:val="00851A0A"/>
    <w:rsid w:val="00851EDA"/>
    <w:rsid w:val="00851F9B"/>
    <w:rsid w:val="00852250"/>
    <w:rsid w:val="00852499"/>
    <w:rsid w:val="0085264F"/>
    <w:rsid w:val="00852919"/>
    <w:rsid w:val="008529A4"/>
    <w:rsid w:val="00852C45"/>
    <w:rsid w:val="00852FF7"/>
    <w:rsid w:val="00853379"/>
    <w:rsid w:val="008534FF"/>
    <w:rsid w:val="00853B2E"/>
    <w:rsid w:val="00854183"/>
    <w:rsid w:val="0085436B"/>
    <w:rsid w:val="00854732"/>
    <w:rsid w:val="00854B05"/>
    <w:rsid w:val="00854BD6"/>
    <w:rsid w:val="00854FFB"/>
    <w:rsid w:val="00855365"/>
    <w:rsid w:val="00855556"/>
    <w:rsid w:val="0085603D"/>
    <w:rsid w:val="00856437"/>
    <w:rsid w:val="008567E7"/>
    <w:rsid w:val="00856CE8"/>
    <w:rsid w:val="00856DC7"/>
    <w:rsid w:val="0085744C"/>
    <w:rsid w:val="008576D1"/>
    <w:rsid w:val="00857750"/>
    <w:rsid w:val="0085790D"/>
    <w:rsid w:val="00857997"/>
    <w:rsid w:val="00857D28"/>
    <w:rsid w:val="00857EC2"/>
    <w:rsid w:val="00857F43"/>
    <w:rsid w:val="00860229"/>
    <w:rsid w:val="00860539"/>
    <w:rsid w:val="008606B0"/>
    <w:rsid w:val="008606DA"/>
    <w:rsid w:val="00860ADA"/>
    <w:rsid w:val="00860DFF"/>
    <w:rsid w:val="00860EB4"/>
    <w:rsid w:val="00861BA6"/>
    <w:rsid w:val="008622FC"/>
    <w:rsid w:val="00862388"/>
    <w:rsid w:val="0086238B"/>
    <w:rsid w:val="008624CB"/>
    <w:rsid w:val="00862713"/>
    <w:rsid w:val="00862F36"/>
    <w:rsid w:val="00862F6F"/>
    <w:rsid w:val="00862F78"/>
    <w:rsid w:val="00863360"/>
    <w:rsid w:val="008635BD"/>
    <w:rsid w:val="0086423E"/>
    <w:rsid w:val="00864611"/>
    <w:rsid w:val="0086472F"/>
    <w:rsid w:val="00864745"/>
    <w:rsid w:val="008652CF"/>
    <w:rsid w:val="00865303"/>
    <w:rsid w:val="00865327"/>
    <w:rsid w:val="00865661"/>
    <w:rsid w:val="0086567F"/>
    <w:rsid w:val="00865724"/>
    <w:rsid w:val="00865B85"/>
    <w:rsid w:val="00865D72"/>
    <w:rsid w:val="00866062"/>
    <w:rsid w:val="008669F9"/>
    <w:rsid w:val="00866D8D"/>
    <w:rsid w:val="00866EA9"/>
    <w:rsid w:val="00866F40"/>
    <w:rsid w:val="008671D4"/>
    <w:rsid w:val="00867348"/>
    <w:rsid w:val="008677D7"/>
    <w:rsid w:val="008678A6"/>
    <w:rsid w:val="00867ED6"/>
    <w:rsid w:val="00867F15"/>
    <w:rsid w:val="00870300"/>
    <w:rsid w:val="008706EA"/>
    <w:rsid w:val="00870812"/>
    <w:rsid w:val="00870939"/>
    <w:rsid w:val="00870CD6"/>
    <w:rsid w:val="008715F1"/>
    <w:rsid w:val="008719A8"/>
    <w:rsid w:val="008719C9"/>
    <w:rsid w:val="00871E57"/>
    <w:rsid w:val="00871FA6"/>
    <w:rsid w:val="008720C5"/>
    <w:rsid w:val="00872203"/>
    <w:rsid w:val="008722EC"/>
    <w:rsid w:val="00872635"/>
    <w:rsid w:val="00872693"/>
    <w:rsid w:val="00872B90"/>
    <w:rsid w:val="00872EFD"/>
    <w:rsid w:val="00873531"/>
    <w:rsid w:val="00873637"/>
    <w:rsid w:val="0087384D"/>
    <w:rsid w:val="00873AC0"/>
    <w:rsid w:val="00873C0A"/>
    <w:rsid w:val="008742A8"/>
    <w:rsid w:val="00874329"/>
    <w:rsid w:val="008746D5"/>
    <w:rsid w:val="008749A7"/>
    <w:rsid w:val="00875292"/>
    <w:rsid w:val="008752BA"/>
    <w:rsid w:val="008754EE"/>
    <w:rsid w:val="008757D8"/>
    <w:rsid w:val="00876256"/>
    <w:rsid w:val="00876347"/>
    <w:rsid w:val="00876509"/>
    <w:rsid w:val="00876A2A"/>
    <w:rsid w:val="00876B53"/>
    <w:rsid w:val="00876DCA"/>
    <w:rsid w:val="00876E45"/>
    <w:rsid w:val="00876FB5"/>
    <w:rsid w:val="008772C8"/>
    <w:rsid w:val="00877467"/>
    <w:rsid w:val="0087769A"/>
    <w:rsid w:val="00877938"/>
    <w:rsid w:val="00877BF6"/>
    <w:rsid w:val="00877C01"/>
    <w:rsid w:val="00877D14"/>
    <w:rsid w:val="00880229"/>
    <w:rsid w:val="00880501"/>
    <w:rsid w:val="00880559"/>
    <w:rsid w:val="008805C8"/>
    <w:rsid w:val="00880687"/>
    <w:rsid w:val="008807A2"/>
    <w:rsid w:val="00880F75"/>
    <w:rsid w:val="00881013"/>
    <w:rsid w:val="008810E7"/>
    <w:rsid w:val="008813CC"/>
    <w:rsid w:val="008816EB"/>
    <w:rsid w:val="00881751"/>
    <w:rsid w:val="008818AF"/>
    <w:rsid w:val="00881936"/>
    <w:rsid w:val="008819AB"/>
    <w:rsid w:val="00881AA6"/>
    <w:rsid w:val="00881C6B"/>
    <w:rsid w:val="00881DD0"/>
    <w:rsid w:val="00882A12"/>
    <w:rsid w:val="00882BA9"/>
    <w:rsid w:val="0088357E"/>
    <w:rsid w:val="00884100"/>
    <w:rsid w:val="00884274"/>
    <w:rsid w:val="00884693"/>
    <w:rsid w:val="00884CED"/>
    <w:rsid w:val="00884D8A"/>
    <w:rsid w:val="00884F46"/>
    <w:rsid w:val="00884F92"/>
    <w:rsid w:val="008851B1"/>
    <w:rsid w:val="0088543B"/>
    <w:rsid w:val="00885607"/>
    <w:rsid w:val="00885B89"/>
    <w:rsid w:val="008860E3"/>
    <w:rsid w:val="00886243"/>
    <w:rsid w:val="0088650D"/>
    <w:rsid w:val="00886523"/>
    <w:rsid w:val="00886679"/>
    <w:rsid w:val="00886861"/>
    <w:rsid w:val="00886A37"/>
    <w:rsid w:val="00886DED"/>
    <w:rsid w:val="0088707E"/>
    <w:rsid w:val="00887500"/>
    <w:rsid w:val="008876EA"/>
    <w:rsid w:val="00887768"/>
    <w:rsid w:val="008878E3"/>
    <w:rsid w:val="00887A3F"/>
    <w:rsid w:val="00887FF1"/>
    <w:rsid w:val="008904AE"/>
    <w:rsid w:val="00890D92"/>
    <w:rsid w:val="00890DC1"/>
    <w:rsid w:val="00890E92"/>
    <w:rsid w:val="00890FF7"/>
    <w:rsid w:val="008912CA"/>
    <w:rsid w:val="008913E0"/>
    <w:rsid w:val="00891637"/>
    <w:rsid w:val="00891A7F"/>
    <w:rsid w:val="00891DBE"/>
    <w:rsid w:val="00892271"/>
    <w:rsid w:val="00892355"/>
    <w:rsid w:val="0089251B"/>
    <w:rsid w:val="008925C4"/>
    <w:rsid w:val="00892623"/>
    <w:rsid w:val="0089263B"/>
    <w:rsid w:val="00892AC6"/>
    <w:rsid w:val="00893270"/>
    <w:rsid w:val="008932D2"/>
    <w:rsid w:val="008934CB"/>
    <w:rsid w:val="0089355D"/>
    <w:rsid w:val="00893BE7"/>
    <w:rsid w:val="00894382"/>
    <w:rsid w:val="008946B1"/>
    <w:rsid w:val="008947C2"/>
    <w:rsid w:val="0089492A"/>
    <w:rsid w:val="00894A32"/>
    <w:rsid w:val="00894DF1"/>
    <w:rsid w:val="00895037"/>
    <w:rsid w:val="00895184"/>
    <w:rsid w:val="00895432"/>
    <w:rsid w:val="00895706"/>
    <w:rsid w:val="00895B52"/>
    <w:rsid w:val="00895C2A"/>
    <w:rsid w:val="00895E19"/>
    <w:rsid w:val="00895E8B"/>
    <w:rsid w:val="00895FE2"/>
    <w:rsid w:val="008962DB"/>
    <w:rsid w:val="008963ED"/>
    <w:rsid w:val="008969DB"/>
    <w:rsid w:val="00896AC8"/>
    <w:rsid w:val="00896C49"/>
    <w:rsid w:val="00896CB1"/>
    <w:rsid w:val="00896EB0"/>
    <w:rsid w:val="008970BB"/>
    <w:rsid w:val="00897676"/>
    <w:rsid w:val="00897EDF"/>
    <w:rsid w:val="008A06F2"/>
    <w:rsid w:val="008A0D99"/>
    <w:rsid w:val="008A0DBA"/>
    <w:rsid w:val="008A10BC"/>
    <w:rsid w:val="008A1242"/>
    <w:rsid w:val="008A1307"/>
    <w:rsid w:val="008A1362"/>
    <w:rsid w:val="008A18E5"/>
    <w:rsid w:val="008A19D8"/>
    <w:rsid w:val="008A23C6"/>
    <w:rsid w:val="008A2A1E"/>
    <w:rsid w:val="008A2B3C"/>
    <w:rsid w:val="008A2D22"/>
    <w:rsid w:val="008A32E5"/>
    <w:rsid w:val="008A371E"/>
    <w:rsid w:val="008A3760"/>
    <w:rsid w:val="008A3AAB"/>
    <w:rsid w:val="008A3D06"/>
    <w:rsid w:val="008A3DD3"/>
    <w:rsid w:val="008A3E54"/>
    <w:rsid w:val="008A3F60"/>
    <w:rsid w:val="008A40AE"/>
    <w:rsid w:val="008A4222"/>
    <w:rsid w:val="008A4302"/>
    <w:rsid w:val="008A4BEC"/>
    <w:rsid w:val="008A4E15"/>
    <w:rsid w:val="008A52F8"/>
    <w:rsid w:val="008A53E0"/>
    <w:rsid w:val="008A5648"/>
    <w:rsid w:val="008A57A0"/>
    <w:rsid w:val="008A5A8B"/>
    <w:rsid w:val="008A5C67"/>
    <w:rsid w:val="008A5C94"/>
    <w:rsid w:val="008A5D07"/>
    <w:rsid w:val="008A5ECA"/>
    <w:rsid w:val="008A5F6A"/>
    <w:rsid w:val="008A6284"/>
    <w:rsid w:val="008A64C7"/>
    <w:rsid w:val="008A6681"/>
    <w:rsid w:val="008A6707"/>
    <w:rsid w:val="008A6BA9"/>
    <w:rsid w:val="008A7212"/>
    <w:rsid w:val="008A7478"/>
    <w:rsid w:val="008A7601"/>
    <w:rsid w:val="008A7ACC"/>
    <w:rsid w:val="008B0361"/>
    <w:rsid w:val="008B040C"/>
    <w:rsid w:val="008B07AB"/>
    <w:rsid w:val="008B0A47"/>
    <w:rsid w:val="008B0A86"/>
    <w:rsid w:val="008B107B"/>
    <w:rsid w:val="008B1540"/>
    <w:rsid w:val="008B169F"/>
    <w:rsid w:val="008B16EE"/>
    <w:rsid w:val="008B1E3F"/>
    <w:rsid w:val="008B20EE"/>
    <w:rsid w:val="008B2BB9"/>
    <w:rsid w:val="008B2C18"/>
    <w:rsid w:val="008B2EDA"/>
    <w:rsid w:val="008B3212"/>
    <w:rsid w:val="008B332A"/>
    <w:rsid w:val="008B33A9"/>
    <w:rsid w:val="008B36CC"/>
    <w:rsid w:val="008B392C"/>
    <w:rsid w:val="008B3964"/>
    <w:rsid w:val="008B442D"/>
    <w:rsid w:val="008B4B41"/>
    <w:rsid w:val="008B4B7F"/>
    <w:rsid w:val="008B4E34"/>
    <w:rsid w:val="008B50B2"/>
    <w:rsid w:val="008B55D6"/>
    <w:rsid w:val="008B5804"/>
    <w:rsid w:val="008B5BFA"/>
    <w:rsid w:val="008B5E8F"/>
    <w:rsid w:val="008B65CC"/>
    <w:rsid w:val="008B6877"/>
    <w:rsid w:val="008B6E62"/>
    <w:rsid w:val="008B6F52"/>
    <w:rsid w:val="008B7236"/>
    <w:rsid w:val="008B7279"/>
    <w:rsid w:val="008B7314"/>
    <w:rsid w:val="008B742C"/>
    <w:rsid w:val="008B74FD"/>
    <w:rsid w:val="008B7834"/>
    <w:rsid w:val="008C0C7E"/>
    <w:rsid w:val="008C0D99"/>
    <w:rsid w:val="008C16CA"/>
    <w:rsid w:val="008C1892"/>
    <w:rsid w:val="008C1C7E"/>
    <w:rsid w:val="008C1D3D"/>
    <w:rsid w:val="008C1D48"/>
    <w:rsid w:val="008C1E1D"/>
    <w:rsid w:val="008C1EC2"/>
    <w:rsid w:val="008C2192"/>
    <w:rsid w:val="008C2577"/>
    <w:rsid w:val="008C25E2"/>
    <w:rsid w:val="008C2611"/>
    <w:rsid w:val="008C27BA"/>
    <w:rsid w:val="008C2B50"/>
    <w:rsid w:val="008C2F4E"/>
    <w:rsid w:val="008C3003"/>
    <w:rsid w:val="008C3123"/>
    <w:rsid w:val="008C3182"/>
    <w:rsid w:val="008C3285"/>
    <w:rsid w:val="008C3396"/>
    <w:rsid w:val="008C38D4"/>
    <w:rsid w:val="008C3B16"/>
    <w:rsid w:val="008C3C11"/>
    <w:rsid w:val="008C41E8"/>
    <w:rsid w:val="008C4668"/>
    <w:rsid w:val="008C4EE4"/>
    <w:rsid w:val="008C4EEB"/>
    <w:rsid w:val="008C4F17"/>
    <w:rsid w:val="008C4F92"/>
    <w:rsid w:val="008C5006"/>
    <w:rsid w:val="008C5668"/>
    <w:rsid w:val="008C56F6"/>
    <w:rsid w:val="008C58E0"/>
    <w:rsid w:val="008C5C95"/>
    <w:rsid w:val="008C5ECE"/>
    <w:rsid w:val="008C5F7E"/>
    <w:rsid w:val="008C5F97"/>
    <w:rsid w:val="008C6022"/>
    <w:rsid w:val="008C636E"/>
    <w:rsid w:val="008C637D"/>
    <w:rsid w:val="008C63DE"/>
    <w:rsid w:val="008C641A"/>
    <w:rsid w:val="008C662E"/>
    <w:rsid w:val="008C682E"/>
    <w:rsid w:val="008C6D42"/>
    <w:rsid w:val="008C706C"/>
    <w:rsid w:val="008C726F"/>
    <w:rsid w:val="008C7A30"/>
    <w:rsid w:val="008C7CB9"/>
    <w:rsid w:val="008D028C"/>
    <w:rsid w:val="008D0790"/>
    <w:rsid w:val="008D0A2C"/>
    <w:rsid w:val="008D0CCC"/>
    <w:rsid w:val="008D101F"/>
    <w:rsid w:val="008D113D"/>
    <w:rsid w:val="008D15DC"/>
    <w:rsid w:val="008D1A1B"/>
    <w:rsid w:val="008D1ADF"/>
    <w:rsid w:val="008D2014"/>
    <w:rsid w:val="008D246B"/>
    <w:rsid w:val="008D2601"/>
    <w:rsid w:val="008D26F9"/>
    <w:rsid w:val="008D2AA2"/>
    <w:rsid w:val="008D2BBD"/>
    <w:rsid w:val="008D2F91"/>
    <w:rsid w:val="008D336A"/>
    <w:rsid w:val="008D3CEB"/>
    <w:rsid w:val="008D3D7D"/>
    <w:rsid w:val="008D3E86"/>
    <w:rsid w:val="008D4041"/>
    <w:rsid w:val="008D40CB"/>
    <w:rsid w:val="008D4C0A"/>
    <w:rsid w:val="008D4DBA"/>
    <w:rsid w:val="008D523F"/>
    <w:rsid w:val="008D5373"/>
    <w:rsid w:val="008D543F"/>
    <w:rsid w:val="008D5C19"/>
    <w:rsid w:val="008D5EB5"/>
    <w:rsid w:val="008D6036"/>
    <w:rsid w:val="008D6526"/>
    <w:rsid w:val="008D66F6"/>
    <w:rsid w:val="008D6A01"/>
    <w:rsid w:val="008D6D67"/>
    <w:rsid w:val="008D733A"/>
    <w:rsid w:val="008E0163"/>
    <w:rsid w:val="008E01FD"/>
    <w:rsid w:val="008E0263"/>
    <w:rsid w:val="008E05C2"/>
    <w:rsid w:val="008E0A79"/>
    <w:rsid w:val="008E0BCB"/>
    <w:rsid w:val="008E0C19"/>
    <w:rsid w:val="008E0CBD"/>
    <w:rsid w:val="008E0EBD"/>
    <w:rsid w:val="008E11E5"/>
    <w:rsid w:val="008E1408"/>
    <w:rsid w:val="008E187A"/>
    <w:rsid w:val="008E2053"/>
    <w:rsid w:val="008E24B1"/>
    <w:rsid w:val="008E2556"/>
    <w:rsid w:val="008E26EE"/>
    <w:rsid w:val="008E271F"/>
    <w:rsid w:val="008E27D4"/>
    <w:rsid w:val="008E2CE3"/>
    <w:rsid w:val="008E2D70"/>
    <w:rsid w:val="008E3210"/>
    <w:rsid w:val="008E3329"/>
    <w:rsid w:val="008E3665"/>
    <w:rsid w:val="008E3964"/>
    <w:rsid w:val="008E3FB2"/>
    <w:rsid w:val="008E402E"/>
    <w:rsid w:val="008E42FE"/>
    <w:rsid w:val="008E434B"/>
    <w:rsid w:val="008E4486"/>
    <w:rsid w:val="008E44EF"/>
    <w:rsid w:val="008E4993"/>
    <w:rsid w:val="008E4AB1"/>
    <w:rsid w:val="008E4E26"/>
    <w:rsid w:val="008E522F"/>
    <w:rsid w:val="008E52CF"/>
    <w:rsid w:val="008E57C4"/>
    <w:rsid w:val="008E5A2E"/>
    <w:rsid w:val="008E5B47"/>
    <w:rsid w:val="008E5B96"/>
    <w:rsid w:val="008E5CBC"/>
    <w:rsid w:val="008E6A24"/>
    <w:rsid w:val="008E6BE1"/>
    <w:rsid w:val="008E72AB"/>
    <w:rsid w:val="008E781A"/>
    <w:rsid w:val="008E7C2E"/>
    <w:rsid w:val="008E7D68"/>
    <w:rsid w:val="008E7EB0"/>
    <w:rsid w:val="008F0073"/>
    <w:rsid w:val="008F01DB"/>
    <w:rsid w:val="008F0512"/>
    <w:rsid w:val="008F06F2"/>
    <w:rsid w:val="008F07FF"/>
    <w:rsid w:val="008F0ABE"/>
    <w:rsid w:val="008F0DEB"/>
    <w:rsid w:val="008F10FA"/>
    <w:rsid w:val="008F10FE"/>
    <w:rsid w:val="008F1166"/>
    <w:rsid w:val="008F127E"/>
    <w:rsid w:val="008F171B"/>
    <w:rsid w:val="008F1814"/>
    <w:rsid w:val="008F1930"/>
    <w:rsid w:val="008F1C56"/>
    <w:rsid w:val="008F1E06"/>
    <w:rsid w:val="008F208F"/>
    <w:rsid w:val="008F224B"/>
    <w:rsid w:val="008F26FD"/>
    <w:rsid w:val="008F29CA"/>
    <w:rsid w:val="008F2F1E"/>
    <w:rsid w:val="008F369E"/>
    <w:rsid w:val="008F3AB8"/>
    <w:rsid w:val="008F3EA2"/>
    <w:rsid w:val="008F4225"/>
    <w:rsid w:val="008F4685"/>
    <w:rsid w:val="008F4895"/>
    <w:rsid w:val="008F4C25"/>
    <w:rsid w:val="008F521B"/>
    <w:rsid w:val="008F55EE"/>
    <w:rsid w:val="008F5694"/>
    <w:rsid w:val="008F5761"/>
    <w:rsid w:val="008F57B6"/>
    <w:rsid w:val="008F5CDE"/>
    <w:rsid w:val="008F6186"/>
    <w:rsid w:val="008F652C"/>
    <w:rsid w:val="008F6949"/>
    <w:rsid w:val="008F6A10"/>
    <w:rsid w:val="008F6BAE"/>
    <w:rsid w:val="008F716D"/>
    <w:rsid w:val="008F736C"/>
    <w:rsid w:val="008F75BA"/>
    <w:rsid w:val="008F7BB0"/>
    <w:rsid w:val="008F7E3A"/>
    <w:rsid w:val="00900232"/>
    <w:rsid w:val="009002F3"/>
    <w:rsid w:val="0090061C"/>
    <w:rsid w:val="00900B47"/>
    <w:rsid w:val="00900CF1"/>
    <w:rsid w:val="00900F00"/>
    <w:rsid w:val="00901C7D"/>
    <w:rsid w:val="00901D8C"/>
    <w:rsid w:val="00901D97"/>
    <w:rsid w:val="009020F4"/>
    <w:rsid w:val="0090225F"/>
    <w:rsid w:val="00902BD1"/>
    <w:rsid w:val="00902C5C"/>
    <w:rsid w:val="00902EAC"/>
    <w:rsid w:val="00902FAD"/>
    <w:rsid w:val="0090326A"/>
    <w:rsid w:val="0090336A"/>
    <w:rsid w:val="0090362A"/>
    <w:rsid w:val="009036BF"/>
    <w:rsid w:val="00903A11"/>
    <w:rsid w:val="00903D3B"/>
    <w:rsid w:val="009045A0"/>
    <w:rsid w:val="00904741"/>
    <w:rsid w:val="0090479F"/>
    <w:rsid w:val="00904D62"/>
    <w:rsid w:val="00904F47"/>
    <w:rsid w:val="00905647"/>
    <w:rsid w:val="00905C06"/>
    <w:rsid w:val="00905CE0"/>
    <w:rsid w:val="00905DD0"/>
    <w:rsid w:val="009062BA"/>
    <w:rsid w:val="009063F8"/>
    <w:rsid w:val="009068AC"/>
    <w:rsid w:val="00906930"/>
    <w:rsid w:val="00906D59"/>
    <w:rsid w:val="00906F51"/>
    <w:rsid w:val="009071A8"/>
    <w:rsid w:val="009073C8"/>
    <w:rsid w:val="00907B8B"/>
    <w:rsid w:val="00907CB3"/>
    <w:rsid w:val="00910342"/>
    <w:rsid w:val="00910977"/>
    <w:rsid w:val="00910C5D"/>
    <w:rsid w:val="0091108A"/>
    <w:rsid w:val="009110D7"/>
    <w:rsid w:val="00911213"/>
    <w:rsid w:val="00911345"/>
    <w:rsid w:val="00911932"/>
    <w:rsid w:val="00911C20"/>
    <w:rsid w:val="00911D2E"/>
    <w:rsid w:val="0091233B"/>
    <w:rsid w:val="00912EE0"/>
    <w:rsid w:val="00912F88"/>
    <w:rsid w:val="00913298"/>
    <w:rsid w:val="00913650"/>
    <w:rsid w:val="00913769"/>
    <w:rsid w:val="00913BFD"/>
    <w:rsid w:val="00913CDA"/>
    <w:rsid w:val="00913E6E"/>
    <w:rsid w:val="009142E2"/>
    <w:rsid w:val="00914B5A"/>
    <w:rsid w:val="00914BF2"/>
    <w:rsid w:val="00914ED8"/>
    <w:rsid w:val="00914FC0"/>
    <w:rsid w:val="00915008"/>
    <w:rsid w:val="009152DA"/>
    <w:rsid w:val="00915391"/>
    <w:rsid w:val="00915749"/>
    <w:rsid w:val="00916287"/>
    <w:rsid w:val="009164C6"/>
    <w:rsid w:val="009165BF"/>
    <w:rsid w:val="00916630"/>
    <w:rsid w:val="00916726"/>
    <w:rsid w:val="00916B74"/>
    <w:rsid w:val="00916C45"/>
    <w:rsid w:val="00916E71"/>
    <w:rsid w:val="00917169"/>
    <w:rsid w:val="0091727A"/>
    <w:rsid w:val="0091776B"/>
    <w:rsid w:val="009200A9"/>
    <w:rsid w:val="009200EF"/>
    <w:rsid w:val="00920135"/>
    <w:rsid w:val="009204CF"/>
    <w:rsid w:val="009205E9"/>
    <w:rsid w:val="00920666"/>
    <w:rsid w:val="00920674"/>
    <w:rsid w:val="00920CEF"/>
    <w:rsid w:val="0092114E"/>
    <w:rsid w:val="0092128C"/>
    <w:rsid w:val="009212A5"/>
    <w:rsid w:val="00921932"/>
    <w:rsid w:val="00921A15"/>
    <w:rsid w:val="00921CB7"/>
    <w:rsid w:val="00921D24"/>
    <w:rsid w:val="00921D31"/>
    <w:rsid w:val="00921DF3"/>
    <w:rsid w:val="0092205E"/>
    <w:rsid w:val="00922349"/>
    <w:rsid w:val="00922A58"/>
    <w:rsid w:val="00922D57"/>
    <w:rsid w:val="00922DB3"/>
    <w:rsid w:val="00922F40"/>
    <w:rsid w:val="0092342D"/>
    <w:rsid w:val="00923544"/>
    <w:rsid w:val="0092364B"/>
    <w:rsid w:val="009238FD"/>
    <w:rsid w:val="00923A3F"/>
    <w:rsid w:val="00923C8E"/>
    <w:rsid w:val="00923CB3"/>
    <w:rsid w:val="00923D5D"/>
    <w:rsid w:val="00924038"/>
    <w:rsid w:val="00924138"/>
    <w:rsid w:val="00924419"/>
    <w:rsid w:val="00924497"/>
    <w:rsid w:val="009245C1"/>
    <w:rsid w:val="009245FD"/>
    <w:rsid w:val="00925142"/>
    <w:rsid w:val="0092550D"/>
    <w:rsid w:val="00925CCB"/>
    <w:rsid w:val="009260C9"/>
    <w:rsid w:val="00926489"/>
    <w:rsid w:val="00926B0E"/>
    <w:rsid w:val="00926C6C"/>
    <w:rsid w:val="00926E5E"/>
    <w:rsid w:val="00927571"/>
    <w:rsid w:val="0092794B"/>
    <w:rsid w:val="00927B4C"/>
    <w:rsid w:val="00927C4D"/>
    <w:rsid w:val="00927FD3"/>
    <w:rsid w:val="009300B9"/>
    <w:rsid w:val="00930142"/>
    <w:rsid w:val="00930501"/>
    <w:rsid w:val="009306A5"/>
    <w:rsid w:val="00930949"/>
    <w:rsid w:val="00930A8B"/>
    <w:rsid w:val="009316D6"/>
    <w:rsid w:val="009316EC"/>
    <w:rsid w:val="00931871"/>
    <w:rsid w:val="00931C78"/>
    <w:rsid w:val="00931E1F"/>
    <w:rsid w:val="00932289"/>
    <w:rsid w:val="009326B6"/>
    <w:rsid w:val="009328F0"/>
    <w:rsid w:val="009329AB"/>
    <w:rsid w:val="00932E4F"/>
    <w:rsid w:val="00932EAC"/>
    <w:rsid w:val="0093319B"/>
    <w:rsid w:val="009331AC"/>
    <w:rsid w:val="0093337D"/>
    <w:rsid w:val="00933540"/>
    <w:rsid w:val="00934002"/>
    <w:rsid w:val="0093416C"/>
    <w:rsid w:val="0093417D"/>
    <w:rsid w:val="00934196"/>
    <w:rsid w:val="0093457D"/>
    <w:rsid w:val="00934BAE"/>
    <w:rsid w:val="00934E2A"/>
    <w:rsid w:val="00934EE6"/>
    <w:rsid w:val="00934FE1"/>
    <w:rsid w:val="009352BD"/>
    <w:rsid w:val="009355B3"/>
    <w:rsid w:val="00935B90"/>
    <w:rsid w:val="00935BFE"/>
    <w:rsid w:val="00936416"/>
    <w:rsid w:val="009365A5"/>
    <w:rsid w:val="009365BC"/>
    <w:rsid w:val="00936B6C"/>
    <w:rsid w:val="00936D55"/>
    <w:rsid w:val="009372F6"/>
    <w:rsid w:val="009376B4"/>
    <w:rsid w:val="00937ACA"/>
    <w:rsid w:val="00937BBA"/>
    <w:rsid w:val="00937D0C"/>
    <w:rsid w:val="009403E3"/>
    <w:rsid w:val="0094059F"/>
    <w:rsid w:val="009405D7"/>
    <w:rsid w:val="00940712"/>
    <w:rsid w:val="00940820"/>
    <w:rsid w:val="00940A51"/>
    <w:rsid w:val="00940B53"/>
    <w:rsid w:val="00940F56"/>
    <w:rsid w:val="0094137C"/>
    <w:rsid w:val="0094153F"/>
    <w:rsid w:val="009416B7"/>
    <w:rsid w:val="0094188B"/>
    <w:rsid w:val="00941895"/>
    <w:rsid w:val="00941CD1"/>
    <w:rsid w:val="0094227D"/>
    <w:rsid w:val="009422B5"/>
    <w:rsid w:val="0094296C"/>
    <w:rsid w:val="00942E36"/>
    <w:rsid w:val="00942E4C"/>
    <w:rsid w:val="00943181"/>
    <w:rsid w:val="0094363C"/>
    <w:rsid w:val="0094367B"/>
    <w:rsid w:val="00943BBC"/>
    <w:rsid w:val="00943E34"/>
    <w:rsid w:val="00943EFF"/>
    <w:rsid w:val="00943FA4"/>
    <w:rsid w:val="00944474"/>
    <w:rsid w:val="00944A03"/>
    <w:rsid w:val="00944AAF"/>
    <w:rsid w:val="00944E51"/>
    <w:rsid w:val="009451B1"/>
    <w:rsid w:val="0094553E"/>
    <w:rsid w:val="0094575B"/>
    <w:rsid w:val="00945CC8"/>
    <w:rsid w:val="00945E3E"/>
    <w:rsid w:val="00945F5B"/>
    <w:rsid w:val="00946019"/>
    <w:rsid w:val="009461F7"/>
    <w:rsid w:val="00946387"/>
    <w:rsid w:val="00946534"/>
    <w:rsid w:val="009467CA"/>
    <w:rsid w:val="009467EC"/>
    <w:rsid w:val="009467F0"/>
    <w:rsid w:val="009468D3"/>
    <w:rsid w:val="009469E5"/>
    <w:rsid w:val="00946B03"/>
    <w:rsid w:val="00946DB4"/>
    <w:rsid w:val="00946F67"/>
    <w:rsid w:val="0094709B"/>
    <w:rsid w:val="009470BE"/>
    <w:rsid w:val="00947268"/>
    <w:rsid w:val="00947425"/>
    <w:rsid w:val="009475AE"/>
    <w:rsid w:val="009475E6"/>
    <w:rsid w:val="009479D1"/>
    <w:rsid w:val="00947D76"/>
    <w:rsid w:val="00947FD7"/>
    <w:rsid w:val="009500A7"/>
    <w:rsid w:val="009502BB"/>
    <w:rsid w:val="00950656"/>
    <w:rsid w:val="009509F3"/>
    <w:rsid w:val="00950AF3"/>
    <w:rsid w:val="00950B8C"/>
    <w:rsid w:val="00950F83"/>
    <w:rsid w:val="00950FFF"/>
    <w:rsid w:val="00951CB5"/>
    <w:rsid w:val="0095265E"/>
    <w:rsid w:val="00952A6B"/>
    <w:rsid w:val="00952B2F"/>
    <w:rsid w:val="00952BF6"/>
    <w:rsid w:val="00952FBD"/>
    <w:rsid w:val="009531A2"/>
    <w:rsid w:val="00953876"/>
    <w:rsid w:val="00953D67"/>
    <w:rsid w:val="00953FE1"/>
    <w:rsid w:val="0095403D"/>
    <w:rsid w:val="009542DA"/>
    <w:rsid w:val="00954379"/>
    <w:rsid w:val="0095472F"/>
    <w:rsid w:val="00954A00"/>
    <w:rsid w:val="0095530B"/>
    <w:rsid w:val="0095551C"/>
    <w:rsid w:val="009556F4"/>
    <w:rsid w:val="00955850"/>
    <w:rsid w:val="009558BB"/>
    <w:rsid w:val="00955D50"/>
    <w:rsid w:val="00955D74"/>
    <w:rsid w:val="00955E80"/>
    <w:rsid w:val="00956239"/>
    <w:rsid w:val="00956B60"/>
    <w:rsid w:val="00956E8F"/>
    <w:rsid w:val="00957138"/>
    <w:rsid w:val="00957282"/>
    <w:rsid w:val="009573E7"/>
    <w:rsid w:val="00957765"/>
    <w:rsid w:val="0096034C"/>
    <w:rsid w:val="00960454"/>
    <w:rsid w:val="00960D76"/>
    <w:rsid w:val="00960E28"/>
    <w:rsid w:val="00961440"/>
    <w:rsid w:val="0096198D"/>
    <w:rsid w:val="00961A37"/>
    <w:rsid w:val="00962262"/>
    <w:rsid w:val="009628D5"/>
    <w:rsid w:val="00962982"/>
    <w:rsid w:val="00962D0F"/>
    <w:rsid w:val="00962E02"/>
    <w:rsid w:val="00963027"/>
    <w:rsid w:val="00963285"/>
    <w:rsid w:val="009636F4"/>
    <w:rsid w:val="0096390E"/>
    <w:rsid w:val="00963D62"/>
    <w:rsid w:val="00963F90"/>
    <w:rsid w:val="00963FF9"/>
    <w:rsid w:val="00964001"/>
    <w:rsid w:val="00964436"/>
    <w:rsid w:val="009647D9"/>
    <w:rsid w:val="009651CF"/>
    <w:rsid w:val="009651EF"/>
    <w:rsid w:val="0096533F"/>
    <w:rsid w:val="00965407"/>
    <w:rsid w:val="0096565F"/>
    <w:rsid w:val="00965A5B"/>
    <w:rsid w:val="00965B1F"/>
    <w:rsid w:val="00965D71"/>
    <w:rsid w:val="00965FC8"/>
    <w:rsid w:val="00966115"/>
    <w:rsid w:val="00966119"/>
    <w:rsid w:val="0096649D"/>
    <w:rsid w:val="0096657A"/>
    <w:rsid w:val="009669CB"/>
    <w:rsid w:val="00966BAD"/>
    <w:rsid w:val="009674AD"/>
    <w:rsid w:val="00967941"/>
    <w:rsid w:val="00967CF1"/>
    <w:rsid w:val="00967EAE"/>
    <w:rsid w:val="00967FBF"/>
    <w:rsid w:val="009704E2"/>
    <w:rsid w:val="00970803"/>
    <w:rsid w:val="00970996"/>
    <w:rsid w:val="00971820"/>
    <w:rsid w:val="0097242E"/>
    <w:rsid w:val="00972577"/>
    <w:rsid w:val="009726FA"/>
    <w:rsid w:val="00973864"/>
    <w:rsid w:val="00973A45"/>
    <w:rsid w:val="00973F01"/>
    <w:rsid w:val="00974179"/>
    <w:rsid w:val="009741F4"/>
    <w:rsid w:val="00974430"/>
    <w:rsid w:val="00974F52"/>
    <w:rsid w:val="00975005"/>
    <w:rsid w:val="00975323"/>
    <w:rsid w:val="009756D4"/>
    <w:rsid w:val="0097584B"/>
    <w:rsid w:val="00975DD4"/>
    <w:rsid w:val="00975EAA"/>
    <w:rsid w:val="00975FD1"/>
    <w:rsid w:val="0097604E"/>
    <w:rsid w:val="00976118"/>
    <w:rsid w:val="0097646D"/>
    <w:rsid w:val="009768FF"/>
    <w:rsid w:val="00976AD1"/>
    <w:rsid w:val="00976B3E"/>
    <w:rsid w:val="00976B72"/>
    <w:rsid w:val="00976DE0"/>
    <w:rsid w:val="00976F0A"/>
    <w:rsid w:val="00977A9C"/>
    <w:rsid w:val="00977C5C"/>
    <w:rsid w:val="00977C6F"/>
    <w:rsid w:val="0098009D"/>
    <w:rsid w:val="0098074B"/>
    <w:rsid w:val="00980777"/>
    <w:rsid w:val="00980908"/>
    <w:rsid w:val="00980A3C"/>
    <w:rsid w:val="00980ADC"/>
    <w:rsid w:val="00980BF2"/>
    <w:rsid w:val="00980C78"/>
    <w:rsid w:val="00981491"/>
    <w:rsid w:val="00981D4D"/>
    <w:rsid w:val="00981E08"/>
    <w:rsid w:val="00981E2F"/>
    <w:rsid w:val="00982086"/>
    <w:rsid w:val="0098223D"/>
    <w:rsid w:val="00982613"/>
    <w:rsid w:val="0098276D"/>
    <w:rsid w:val="00982951"/>
    <w:rsid w:val="00982EC9"/>
    <w:rsid w:val="00983157"/>
    <w:rsid w:val="009835BF"/>
    <w:rsid w:val="00983D28"/>
    <w:rsid w:val="00983E44"/>
    <w:rsid w:val="00983E98"/>
    <w:rsid w:val="00984780"/>
    <w:rsid w:val="00984DA8"/>
    <w:rsid w:val="009850F9"/>
    <w:rsid w:val="0098520A"/>
    <w:rsid w:val="0098522F"/>
    <w:rsid w:val="00985368"/>
    <w:rsid w:val="00985606"/>
    <w:rsid w:val="009856C0"/>
    <w:rsid w:val="0098572E"/>
    <w:rsid w:val="00985833"/>
    <w:rsid w:val="00985944"/>
    <w:rsid w:val="00985BD6"/>
    <w:rsid w:val="00986657"/>
    <w:rsid w:val="0098679F"/>
    <w:rsid w:val="00986F15"/>
    <w:rsid w:val="009872BF"/>
    <w:rsid w:val="009876D1"/>
    <w:rsid w:val="00987748"/>
    <w:rsid w:val="00987921"/>
    <w:rsid w:val="00987C71"/>
    <w:rsid w:val="00987D64"/>
    <w:rsid w:val="0099005B"/>
    <w:rsid w:val="00990282"/>
    <w:rsid w:val="0099054C"/>
    <w:rsid w:val="009906E2"/>
    <w:rsid w:val="009907D7"/>
    <w:rsid w:val="00990CED"/>
    <w:rsid w:val="00990FC8"/>
    <w:rsid w:val="00991009"/>
    <w:rsid w:val="00991053"/>
    <w:rsid w:val="009910C4"/>
    <w:rsid w:val="00991169"/>
    <w:rsid w:val="0099156B"/>
    <w:rsid w:val="009915C8"/>
    <w:rsid w:val="00991858"/>
    <w:rsid w:val="009918EE"/>
    <w:rsid w:val="00991DEA"/>
    <w:rsid w:val="00991E8A"/>
    <w:rsid w:val="00991EFD"/>
    <w:rsid w:val="009920CA"/>
    <w:rsid w:val="009920FB"/>
    <w:rsid w:val="0099230F"/>
    <w:rsid w:val="009927EF"/>
    <w:rsid w:val="0099295B"/>
    <w:rsid w:val="00992AAB"/>
    <w:rsid w:val="00992C2B"/>
    <w:rsid w:val="009930BB"/>
    <w:rsid w:val="0099344C"/>
    <w:rsid w:val="00993DF2"/>
    <w:rsid w:val="00994060"/>
    <w:rsid w:val="009942B5"/>
    <w:rsid w:val="00994444"/>
    <w:rsid w:val="009946EC"/>
    <w:rsid w:val="00995EB8"/>
    <w:rsid w:val="00995F29"/>
    <w:rsid w:val="009960AA"/>
    <w:rsid w:val="009961A4"/>
    <w:rsid w:val="00996576"/>
    <w:rsid w:val="009966BF"/>
    <w:rsid w:val="00996C0A"/>
    <w:rsid w:val="00996D99"/>
    <w:rsid w:val="0099718B"/>
    <w:rsid w:val="00997A4F"/>
    <w:rsid w:val="00997A68"/>
    <w:rsid w:val="00997C16"/>
    <w:rsid w:val="009A023D"/>
    <w:rsid w:val="009A030A"/>
    <w:rsid w:val="009A0482"/>
    <w:rsid w:val="009A078A"/>
    <w:rsid w:val="009A0DE7"/>
    <w:rsid w:val="009A0FB8"/>
    <w:rsid w:val="009A10EE"/>
    <w:rsid w:val="009A11A0"/>
    <w:rsid w:val="009A12F3"/>
    <w:rsid w:val="009A1411"/>
    <w:rsid w:val="009A17E0"/>
    <w:rsid w:val="009A1907"/>
    <w:rsid w:val="009A1EFA"/>
    <w:rsid w:val="009A1F8D"/>
    <w:rsid w:val="009A222F"/>
    <w:rsid w:val="009A26F5"/>
    <w:rsid w:val="009A2C18"/>
    <w:rsid w:val="009A2E67"/>
    <w:rsid w:val="009A2F39"/>
    <w:rsid w:val="009A33C7"/>
    <w:rsid w:val="009A3540"/>
    <w:rsid w:val="009A3C67"/>
    <w:rsid w:val="009A3CB6"/>
    <w:rsid w:val="009A3CF9"/>
    <w:rsid w:val="009A3FF3"/>
    <w:rsid w:val="009A420B"/>
    <w:rsid w:val="009A46BC"/>
    <w:rsid w:val="009A472C"/>
    <w:rsid w:val="009A4811"/>
    <w:rsid w:val="009A49A2"/>
    <w:rsid w:val="009A4CAE"/>
    <w:rsid w:val="009A4EAD"/>
    <w:rsid w:val="009A5049"/>
    <w:rsid w:val="009A506E"/>
    <w:rsid w:val="009A51FE"/>
    <w:rsid w:val="009A5484"/>
    <w:rsid w:val="009A5487"/>
    <w:rsid w:val="009A59C6"/>
    <w:rsid w:val="009A5ADF"/>
    <w:rsid w:val="009A5D0A"/>
    <w:rsid w:val="009A6014"/>
    <w:rsid w:val="009A615B"/>
    <w:rsid w:val="009A6235"/>
    <w:rsid w:val="009A668D"/>
    <w:rsid w:val="009A66D1"/>
    <w:rsid w:val="009A6949"/>
    <w:rsid w:val="009A6C69"/>
    <w:rsid w:val="009A72BE"/>
    <w:rsid w:val="009A75CB"/>
    <w:rsid w:val="009A7E0E"/>
    <w:rsid w:val="009B003A"/>
    <w:rsid w:val="009B0063"/>
    <w:rsid w:val="009B007E"/>
    <w:rsid w:val="009B061A"/>
    <w:rsid w:val="009B08F0"/>
    <w:rsid w:val="009B0C62"/>
    <w:rsid w:val="009B0CEF"/>
    <w:rsid w:val="009B1703"/>
    <w:rsid w:val="009B1950"/>
    <w:rsid w:val="009B199F"/>
    <w:rsid w:val="009B1EDB"/>
    <w:rsid w:val="009B2352"/>
    <w:rsid w:val="009B26FF"/>
    <w:rsid w:val="009B281A"/>
    <w:rsid w:val="009B2C3D"/>
    <w:rsid w:val="009B3025"/>
    <w:rsid w:val="009B33FF"/>
    <w:rsid w:val="009B35BB"/>
    <w:rsid w:val="009B37E9"/>
    <w:rsid w:val="009B3C3F"/>
    <w:rsid w:val="009B3FD4"/>
    <w:rsid w:val="009B41A1"/>
    <w:rsid w:val="009B485A"/>
    <w:rsid w:val="009B489A"/>
    <w:rsid w:val="009B49B6"/>
    <w:rsid w:val="009B4A5B"/>
    <w:rsid w:val="009B4AA5"/>
    <w:rsid w:val="009B4C29"/>
    <w:rsid w:val="009B4E0A"/>
    <w:rsid w:val="009B5045"/>
    <w:rsid w:val="009B5C56"/>
    <w:rsid w:val="009B5E41"/>
    <w:rsid w:val="009B65B6"/>
    <w:rsid w:val="009B68A0"/>
    <w:rsid w:val="009B68BF"/>
    <w:rsid w:val="009B6989"/>
    <w:rsid w:val="009B6B02"/>
    <w:rsid w:val="009B73B4"/>
    <w:rsid w:val="009B7BD3"/>
    <w:rsid w:val="009B7E4A"/>
    <w:rsid w:val="009C0080"/>
    <w:rsid w:val="009C0106"/>
    <w:rsid w:val="009C03C6"/>
    <w:rsid w:val="009C04BA"/>
    <w:rsid w:val="009C0633"/>
    <w:rsid w:val="009C081D"/>
    <w:rsid w:val="009C0E0C"/>
    <w:rsid w:val="009C0E64"/>
    <w:rsid w:val="009C0EFC"/>
    <w:rsid w:val="009C1064"/>
    <w:rsid w:val="009C1380"/>
    <w:rsid w:val="009C146E"/>
    <w:rsid w:val="009C1495"/>
    <w:rsid w:val="009C159B"/>
    <w:rsid w:val="009C21B0"/>
    <w:rsid w:val="009C2880"/>
    <w:rsid w:val="009C28F9"/>
    <w:rsid w:val="009C2A0A"/>
    <w:rsid w:val="009C2F33"/>
    <w:rsid w:val="009C3487"/>
    <w:rsid w:val="009C3807"/>
    <w:rsid w:val="009C38EE"/>
    <w:rsid w:val="009C3A55"/>
    <w:rsid w:val="009C3ADB"/>
    <w:rsid w:val="009C402E"/>
    <w:rsid w:val="009C4077"/>
    <w:rsid w:val="009C41E4"/>
    <w:rsid w:val="009C4453"/>
    <w:rsid w:val="009C450E"/>
    <w:rsid w:val="009C46FD"/>
    <w:rsid w:val="009C4858"/>
    <w:rsid w:val="009C4C92"/>
    <w:rsid w:val="009C50D6"/>
    <w:rsid w:val="009C57EE"/>
    <w:rsid w:val="009C5879"/>
    <w:rsid w:val="009C59A7"/>
    <w:rsid w:val="009C5B9F"/>
    <w:rsid w:val="009C60CB"/>
    <w:rsid w:val="009C6121"/>
    <w:rsid w:val="009C6206"/>
    <w:rsid w:val="009C6742"/>
    <w:rsid w:val="009C6744"/>
    <w:rsid w:val="009C6A19"/>
    <w:rsid w:val="009C737F"/>
    <w:rsid w:val="009C7D61"/>
    <w:rsid w:val="009D03B3"/>
    <w:rsid w:val="009D0556"/>
    <w:rsid w:val="009D05ED"/>
    <w:rsid w:val="009D063F"/>
    <w:rsid w:val="009D0781"/>
    <w:rsid w:val="009D0CA0"/>
    <w:rsid w:val="009D11D4"/>
    <w:rsid w:val="009D1E19"/>
    <w:rsid w:val="009D223D"/>
    <w:rsid w:val="009D2378"/>
    <w:rsid w:val="009D2913"/>
    <w:rsid w:val="009D2A4F"/>
    <w:rsid w:val="009D2E0D"/>
    <w:rsid w:val="009D2F25"/>
    <w:rsid w:val="009D309A"/>
    <w:rsid w:val="009D34B0"/>
    <w:rsid w:val="009D3ABF"/>
    <w:rsid w:val="009D3DF4"/>
    <w:rsid w:val="009D3F20"/>
    <w:rsid w:val="009D4126"/>
    <w:rsid w:val="009D43E5"/>
    <w:rsid w:val="009D4855"/>
    <w:rsid w:val="009D48BC"/>
    <w:rsid w:val="009D49B0"/>
    <w:rsid w:val="009D4AB5"/>
    <w:rsid w:val="009D4D44"/>
    <w:rsid w:val="009D507F"/>
    <w:rsid w:val="009D50F8"/>
    <w:rsid w:val="009D54B4"/>
    <w:rsid w:val="009D58ED"/>
    <w:rsid w:val="009D5D2C"/>
    <w:rsid w:val="009D6082"/>
    <w:rsid w:val="009D62AC"/>
    <w:rsid w:val="009D6351"/>
    <w:rsid w:val="009D666D"/>
    <w:rsid w:val="009D6818"/>
    <w:rsid w:val="009D6825"/>
    <w:rsid w:val="009D6B91"/>
    <w:rsid w:val="009D6CCE"/>
    <w:rsid w:val="009D7387"/>
    <w:rsid w:val="009D763D"/>
    <w:rsid w:val="009D7A13"/>
    <w:rsid w:val="009D7AC4"/>
    <w:rsid w:val="009D7AD1"/>
    <w:rsid w:val="009D7C07"/>
    <w:rsid w:val="009E01E7"/>
    <w:rsid w:val="009E0215"/>
    <w:rsid w:val="009E0631"/>
    <w:rsid w:val="009E0A5E"/>
    <w:rsid w:val="009E0B6F"/>
    <w:rsid w:val="009E0EC5"/>
    <w:rsid w:val="009E1209"/>
    <w:rsid w:val="009E1390"/>
    <w:rsid w:val="009E16A9"/>
    <w:rsid w:val="009E18B9"/>
    <w:rsid w:val="009E1987"/>
    <w:rsid w:val="009E1B94"/>
    <w:rsid w:val="009E1C7B"/>
    <w:rsid w:val="009E1E5E"/>
    <w:rsid w:val="009E2180"/>
    <w:rsid w:val="009E226A"/>
    <w:rsid w:val="009E2AEA"/>
    <w:rsid w:val="009E2D93"/>
    <w:rsid w:val="009E3205"/>
    <w:rsid w:val="009E3344"/>
    <w:rsid w:val="009E3845"/>
    <w:rsid w:val="009E39CC"/>
    <w:rsid w:val="009E40E1"/>
    <w:rsid w:val="009E4452"/>
    <w:rsid w:val="009E45A6"/>
    <w:rsid w:val="009E4687"/>
    <w:rsid w:val="009E485D"/>
    <w:rsid w:val="009E4912"/>
    <w:rsid w:val="009E4EA7"/>
    <w:rsid w:val="009E4F4B"/>
    <w:rsid w:val="009E4FE9"/>
    <w:rsid w:val="009E5456"/>
    <w:rsid w:val="009E5893"/>
    <w:rsid w:val="009E5AA1"/>
    <w:rsid w:val="009E5BBB"/>
    <w:rsid w:val="009E605B"/>
    <w:rsid w:val="009E610E"/>
    <w:rsid w:val="009E6154"/>
    <w:rsid w:val="009E61CA"/>
    <w:rsid w:val="009E6374"/>
    <w:rsid w:val="009E6652"/>
    <w:rsid w:val="009E67F4"/>
    <w:rsid w:val="009E6AFB"/>
    <w:rsid w:val="009E6B8C"/>
    <w:rsid w:val="009E6BC4"/>
    <w:rsid w:val="009E6CA5"/>
    <w:rsid w:val="009E71C4"/>
    <w:rsid w:val="009E7318"/>
    <w:rsid w:val="009E7660"/>
    <w:rsid w:val="009E7DC4"/>
    <w:rsid w:val="009F0148"/>
    <w:rsid w:val="009F01CE"/>
    <w:rsid w:val="009F028A"/>
    <w:rsid w:val="009F040B"/>
    <w:rsid w:val="009F0637"/>
    <w:rsid w:val="009F080C"/>
    <w:rsid w:val="009F111B"/>
    <w:rsid w:val="009F132C"/>
    <w:rsid w:val="009F160A"/>
    <w:rsid w:val="009F1760"/>
    <w:rsid w:val="009F1F86"/>
    <w:rsid w:val="009F24C8"/>
    <w:rsid w:val="009F2977"/>
    <w:rsid w:val="009F2A4E"/>
    <w:rsid w:val="009F2AE4"/>
    <w:rsid w:val="009F2B9F"/>
    <w:rsid w:val="009F2C02"/>
    <w:rsid w:val="009F3E8C"/>
    <w:rsid w:val="009F4051"/>
    <w:rsid w:val="009F41B3"/>
    <w:rsid w:val="009F426D"/>
    <w:rsid w:val="009F43D5"/>
    <w:rsid w:val="009F45E4"/>
    <w:rsid w:val="009F47F6"/>
    <w:rsid w:val="009F4835"/>
    <w:rsid w:val="009F4AA2"/>
    <w:rsid w:val="009F4DA4"/>
    <w:rsid w:val="009F5204"/>
    <w:rsid w:val="009F540B"/>
    <w:rsid w:val="009F560D"/>
    <w:rsid w:val="009F564D"/>
    <w:rsid w:val="009F588B"/>
    <w:rsid w:val="009F59A8"/>
    <w:rsid w:val="009F5DD7"/>
    <w:rsid w:val="009F6031"/>
    <w:rsid w:val="009F648E"/>
    <w:rsid w:val="009F68A3"/>
    <w:rsid w:val="009F6F9C"/>
    <w:rsid w:val="009F7136"/>
    <w:rsid w:val="009F7A9B"/>
    <w:rsid w:val="00A0053B"/>
    <w:rsid w:val="00A00720"/>
    <w:rsid w:val="00A0082C"/>
    <w:rsid w:val="00A0125D"/>
    <w:rsid w:val="00A013FF"/>
    <w:rsid w:val="00A015F9"/>
    <w:rsid w:val="00A01702"/>
    <w:rsid w:val="00A01781"/>
    <w:rsid w:val="00A01D72"/>
    <w:rsid w:val="00A01DD5"/>
    <w:rsid w:val="00A01F0F"/>
    <w:rsid w:val="00A0275A"/>
    <w:rsid w:val="00A027EC"/>
    <w:rsid w:val="00A02B31"/>
    <w:rsid w:val="00A02DEC"/>
    <w:rsid w:val="00A02F3C"/>
    <w:rsid w:val="00A031A4"/>
    <w:rsid w:val="00A03318"/>
    <w:rsid w:val="00A03AA3"/>
    <w:rsid w:val="00A03B33"/>
    <w:rsid w:val="00A03BB2"/>
    <w:rsid w:val="00A03EE1"/>
    <w:rsid w:val="00A03F88"/>
    <w:rsid w:val="00A040F1"/>
    <w:rsid w:val="00A04B4E"/>
    <w:rsid w:val="00A05338"/>
    <w:rsid w:val="00A057F7"/>
    <w:rsid w:val="00A05957"/>
    <w:rsid w:val="00A05C34"/>
    <w:rsid w:val="00A06006"/>
    <w:rsid w:val="00A062F0"/>
    <w:rsid w:val="00A06332"/>
    <w:rsid w:val="00A068C4"/>
    <w:rsid w:val="00A06B58"/>
    <w:rsid w:val="00A06E37"/>
    <w:rsid w:val="00A06F5E"/>
    <w:rsid w:val="00A075ED"/>
    <w:rsid w:val="00A075FA"/>
    <w:rsid w:val="00A07625"/>
    <w:rsid w:val="00A07975"/>
    <w:rsid w:val="00A07A06"/>
    <w:rsid w:val="00A07B6C"/>
    <w:rsid w:val="00A07F4C"/>
    <w:rsid w:val="00A1003A"/>
    <w:rsid w:val="00A10055"/>
    <w:rsid w:val="00A1022B"/>
    <w:rsid w:val="00A105FB"/>
    <w:rsid w:val="00A10793"/>
    <w:rsid w:val="00A1084A"/>
    <w:rsid w:val="00A109B4"/>
    <w:rsid w:val="00A10AF9"/>
    <w:rsid w:val="00A11340"/>
    <w:rsid w:val="00A11451"/>
    <w:rsid w:val="00A115DF"/>
    <w:rsid w:val="00A11846"/>
    <w:rsid w:val="00A11A57"/>
    <w:rsid w:val="00A122B9"/>
    <w:rsid w:val="00A1245B"/>
    <w:rsid w:val="00A12678"/>
    <w:rsid w:val="00A13019"/>
    <w:rsid w:val="00A133C9"/>
    <w:rsid w:val="00A1350C"/>
    <w:rsid w:val="00A1370F"/>
    <w:rsid w:val="00A13AF3"/>
    <w:rsid w:val="00A13F60"/>
    <w:rsid w:val="00A1419A"/>
    <w:rsid w:val="00A148CD"/>
    <w:rsid w:val="00A14980"/>
    <w:rsid w:val="00A15014"/>
    <w:rsid w:val="00A153B0"/>
    <w:rsid w:val="00A157FF"/>
    <w:rsid w:val="00A1597D"/>
    <w:rsid w:val="00A15AD3"/>
    <w:rsid w:val="00A15C81"/>
    <w:rsid w:val="00A15F13"/>
    <w:rsid w:val="00A1607B"/>
    <w:rsid w:val="00A161F8"/>
    <w:rsid w:val="00A16282"/>
    <w:rsid w:val="00A1640A"/>
    <w:rsid w:val="00A167ED"/>
    <w:rsid w:val="00A16A09"/>
    <w:rsid w:val="00A172E6"/>
    <w:rsid w:val="00A17C18"/>
    <w:rsid w:val="00A17DB9"/>
    <w:rsid w:val="00A200CA"/>
    <w:rsid w:val="00A201B3"/>
    <w:rsid w:val="00A202FE"/>
    <w:rsid w:val="00A204C9"/>
    <w:rsid w:val="00A2064C"/>
    <w:rsid w:val="00A20675"/>
    <w:rsid w:val="00A20FFD"/>
    <w:rsid w:val="00A21149"/>
    <w:rsid w:val="00A2122D"/>
    <w:rsid w:val="00A2169F"/>
    <w:rsid w:val="00A218E3"/>
    <w:rsid w:val="00A21C7C"/>
    <w:rsid w:val="00A22020"/>
    <w:rsid w:val="00A2216E"/>
    <w:rsid w:val="00A2250E"/>
    <w:rsid w:val="00A237BF"/>
    <w:rsid w:val="00A23912"/>
    <w:rsid w:val="00A2484D"/>
    <w:rsid w:val="00A2496D"/>
    <w:rsid w:val="00A249CE"/>
    <w:rsid w:val="00A24DD4"/>
    <w:rsid w:val="00A25686"/>
    <w:rsid w:val="00A25A49"/>
    <w:rsid w:val="00A26398"/>
    <w:rsid w:val="00A2644D"/>
    <w:rsid w:val="00A26D4C"/>
    <w:rsid w:val="00A27386"/>
    <w:rsid w:val="00A273A5"/>
    <w:rsid w:val="00A274A2"/>
    <w:rsid w:val="00A276EA"/>
    <w:rsid w:val="00A27924"/>
    <w:rsid w:val="00A27DB2"/>
    <w:rsid w:val="00A30267"/>
    <w:rsid w:val="00A30414"/>
    <w:rsid w:val="00A304C8"/>
    <w:rsid w:val="00A3055C"/>
    <w:rsid w:val="00A3087A"/>
    <w:rsid w:val="00A30B98"/>
    <w:rsid w:val="00A3119D"/>
    <w:rsid w:val="00A31344"/>
    <w:rsid w:val="00A31409"/>
    <w:rsid w:val="00A31417"/>
    <w:rsid w:val="00A325E0"/>
    <w:rsid w:val="00A32875"/>
    <w:rsid w:val="00A32F28"/>
    <w:rsid w:val="00A32F59"/>
    <w:rsid w:val="00A32F70"/>
    <w:rsid w:val="00A3321B"/>
    <w:rsid w:val="00A33604"/>
    <w:rsid w:val="00A33CB8"/>
    <w:rsid w:val="00A33D24"/>
    <w:rsid w:val="00A34650"/>
    <w:rsid w:val="00A349DE"/>
    <w:rsid w:val="00A35009"/>
    <w:rsid w:val="00A3506A"/>
    <w:rsid w:val="00A35189"/>
    <w:rsid w:val="00A361DC"/>
    <w:rsid w:val="00A36481"/>
    <w:rsid w:val="00A36881"/>
    <w:rsid w:val="00A3691E"/>
    <w:rsid w:val="00A3698E"/>
    <w:rsid w:val="00A36AF5"/>
    <w:rsid w:val="00A36B03"/>
    <w:rsid w:val="00A36ECB"/>
    <w:rsid w:val="00A37285"/>
    <w:rsid w:val="00A37E1C"/>
    <w:rsid w:val="00A400C6"/>
    <w:rsid w:val="00A401DC"/>
    <w:rsid w:val="00A40BE8"/>
    <w:rsid w:val="00A41175"/>
    <w:rsid w:val="00A41B2A"/>
    <w:rsid w:val="00A41D22"/>
    <w:rsid w:val="00A42145"/>
    <w:rsid w:val="00A4236C"/>
    <w:rsid w:val="00A42DE7"/>
    <w:rsid w:val="00A43074"/>
    <w:rsid w:val="00A43155"/>
    <w:rsid w:val="00A437EB"/>
    <w:rsid w:val="00A43F4B"/>
    <w:rsid w:val="00A44033"/>
    <w:rsid w:val="00A442B1"/>
    <w:rsid w:val="00A4493B"/>
    <w:rsid w:val="00A44BC0"/>
    <w:rsid w:val="00A44CAC"/>
    <w:rsid w:val="00A44D4D"/>
    <w:rsid w:val="00A44E3C"/>
    <w:rsid w:val="00A450B1"/>
    <w:rsid w:val="00A4517A"/>
    <w:rsid w:val="00A451A2"/>
    <w:rsid w:val="00A453A7"/>
    <w:rsid w:val="00A45497"/>
    <w:rsid w:val="00A45877"/>
    <w:rsid w:val="00A4599E"/>
    <w:rsid w:val="00A45D33"/>
    <w:rsid w:val="00A45F75"/>
    <w:rsid w:val="00A46DA3"/>
    <w:rsid w:val="00A475C9"/>
    <w:rsid w:val="00A476F4"/>
    <w:rsid w:val="00A47FAE"/>
    <w:rsid w:val="00A50102"/>
    <w:rsid w:val="00A50103"/>
    <w:rsid w:val="00A5049C"/>
    <w:rsid w:val="00A505D9"/>
    <w:rsid w:val="00A50A83"/>
    <w:rsid w:val="00A50AEA"/>
    <w:rsid w:val="00A50C66"/>
    <w:rsid w:val="00A50CB3"/>
    <w:rsid w:val="00A50DDE"/>
    <w:rsid w:val="00A50EA5"/>
    <w:rsid w:val="00A50F98"/>
    <w:rsid w:val="00A5129A"/>
    <w:rsid w:val="00A51496"/>
    <w:rsid w:val="00A5175C"/>
    <w:rsid w:val="00A518BF"/>
    <w:rsid w:val="00A51EBC"/>
    <w:rsid w:val="00A51FED"/>
    <w:rsid w:val="00A52366"/>
    <w:rsid w:val="00A524CD"/>
    <w:rsid w:val="00A52BFF"/>
    <w:rsid w:val="00A52F5D"/>
    <w:rsid w:val="00A530E4"/>
    <w:rsid w:val="00A5343D"/>
    <w:rsid w:val="00A53DC8"/>
    <w:rsid w:val="00A54225"/>
    <w:rsid w:val="00A5486C"/>
    <w:rsid w:val="00A54CB9"/>
    <w:rsid w:val="00A54DB6"/>
    <w:rsid w:val="00A551AC"/>
    <w:rsid w:val="00A5532F"/>
    <w:rsid w:val="00A5534B"/>
    <w:rsid w:val="00A555D5"/>
    <w:rsid w:val="00A55734"/>
    <w:rsid w:val="00A55D94"/>
    <w:rsid w:val="00A55DF5"/>
    <w:rsid w:val="00A5625E"/>
    <w:rsid w:val="00A56858"/>
    <w:rsid w:val="00A57366"/>
    <w:rsid w:val="00A573EA"/>
    <w:rsid w:val="00A574C1"/>
    <w:rsid w:val="00A57582"/>
    <w:rsid w:val="00A578C7"/>
    <w:rsid w:val="00A57FFA"/>
    <w:rsid w:val="00A60593"/>
    <w:rsid w:val="00A60666"/>
    <w:rsid w:val="00A60948"/>
    <w:rsid w:val="00A609B8"/>
    <w:rsid w:val="00A60F2B"/>
    <w:rsid w:val="00A610A9"/>
    <w:rsid w:val="00A6113D"/>
    <w:rsid w:val="00A61996"/>
    <w:rsid w:val="00A61C32"/>
    <w:rsid w:val="00A61F69"/>
    <w:rsid w:val="00A61F76"/>
    <w:rsid w:val="00A620F6"/>
    <w:rsid w:val="00A62136"/>
    <w:rsid w:val="00A622C4"/>
    <w:rsid w:val="00A624EC"/>
    <w:rsid w:val="00A62979"/>
    <w:rsid w:val="00A62BBC"/>
    <w:rsid w:val="00A62EA1"/>
    <w:rsid w:val="00A62F7A"/>
    <w:rsid w:val="00A63023"/>
    <w:rsid w:val="00A63277"/>
    <w:rsid w:val="00A634C1"/>
    <w:rsid w:val="00A63B4B"/>
    <w:rsid w:val="00A63B77"/>
    <w:rsid w:val="00A63BCB"/>
    <w:rsid w:val="00A63BE4"/>
    <w:rsid w:val="00A64403"/>
    <w:rsid w:val="00A646F3"/>
    <w:rsid w:val="00A6499F"/>
    <w:rsid w:val="00A649E4"/>
    <w:rsid w:val="00A64AE6"/>
    <w:rsid w:val="00A65594"/>
    <w:rsid w:val="00A655CE"/>
    <w:rsid w:val="00A66041"/>
    <w:rsid w:val="00A660BF"/>
    <w:rsid w:val="00A668D2"/>
    <w:rsid w:val="00A66A4D"/>
    <w:rsid w:val="00A66D9E"/>
    <w:rsid w:val="00A6727F"/>
    <w:rsid w:val="00A6738E"/>
    <w:rsid w:val="00A67863"/>
    <w:rsid w:val="00A67947"/>
    <w:rsid w:val="00A67995"/>
    <w:rsid w:val="00A67CDF"/>
    <w:rsid w:val="00A70155"/>
    <w:rsid w:val="00A70191"/>
    <w:rsid w:val="00A709EB"/>
    <w:rsid w:val="00A70DDE"/>
    <w:rsid w:val="00A70EA3"/>
    <w:rsid w:val="00A71094"/>
    <w:rsid w:val="00A714DD"/>
    <w:rsid w:val="00A714E2"/>
    <w:rsid w:val="00A71567"/>
    <w:rsid w:val="00A71A33"/>
    <w:rsid w:val="00A71F1D"/>
    <w:rsid w:val="00A71FEE"/>
    <w:rsid w:val="00A72118"/>
    <w:rsid w:val="00A7262A"/>
    <w:rsid w:val="00A73576"/>
    <w:rsid w:val="00A736DB"/>
    <w:rsid w:val="00A737A1"/>
    <w:rsid w:val="00A73904"/>
    <w:rsid w:val="00A73BB4"/>
    <w:rsid w:val="00A73BD6"/>
    <w:rsid w:val="00A73D96"/>
    <w:rsid w:val="00A73DA9"/>
    <w:rsid w:val="00A73E77"/>
    <w:rsid w:val="00A742F7"/>
    <w:rsid w:val="00A7459D"/>
    <w:rsid w:val="00A74AC9"/>
    <w:rsid w:val="00A74CFF"/>
    <w:rsid w:val="00A75298"/>
    <w:rsid w:val="00A75538"/>
    <w:rsid w:val="00A75576"/>
    <w:rsid w:val="00A7561A"/>
    <w:rsid w:val="00A75737"/>
    <w:rsid w:val="00A76245"/>
    <w:rsid w:val="00A76B6A"/>
    <w:rsid w:val="00A76D04"/>
    <w:rsid w:val="00A76E39"/>
    <w:rsid w:val="00A775CF"/>
    <w:rsid w:val="00A77F24"/>
    <w:rsid w:val="00A8000C"/>
    <w:rsid w:val="00A80103"/>
    <w:rsid w:val="00A80111"/>
    <w:rsid w:val="00A8063F"/>
    <w:rsid w:val="00A80688"/>
    <w:rsid w:val="00A80CDE"/>
    <w:rsid w:val="00A80E80"/>
    <w:rsid w:val="00A81075"/>
    <w:rsid w:val="00A81098"/>
    <w:rsid w:val="00A81130"/>
    <w:rsid w:val="00A81393"/>
    <w:rsid w:val="00A81A19"/>
    <w:rsid w:val="00A821C7"/>
    <w:rsid w:val="00A82C6F"/>
    <w:rsid w:val="00A83671"/>
    <w:rsid w:val="00A8447F"/>
    <w:rsid w:val="00A84971"/>
    <w:rsid w:val="00A851CB"/>
    <w:rsid w:val="00A852E3"/>
    <w:rsid w:val="00A857D9"/>
    <w:rsid w:val="00A858B2"/>
    <w:rsid w:val="00A85985"/>
    <w:rsid w:val="00A85E0F"/>
    <w:rsid w:val="00A861B3"/>
    <w:rsid w:val="00A861D0"/>
    <w:rsid w:val="00A86786"/>
    <w:rsid w:val="00A86C57"/>
    <w:rsid w:val="00A87074"/>
    <w:rsid w:val="00A871D0"/>
    <w:rsid w:val="00A87402"/>
    <w:rsid w:val="00A87619"/>
    <w:rsid w:val="00A877D4"/>
    <w:rsid w:val="00A878F1"/>
    <w:rsid w:val="00A879C5"/>
    <w:rsid w:val="00A87CD8"/>
    <w:rsid w:val="00A90113"/>
    <w:rsid w:val="00A90251"/>
    <w:rsid w:val="00A905D2"/>
    <w:rsid w:val="00A90A2D"/>
    <w:rsid w:val="00A90BD8"/>
    <w:rsid w:val="00A9108E"/>
    <w:rsid w:val="00A9135E"/>
    <w:rsid w:val="00A91512"/>
    <w:rsid w:val="00A9173A"/>
    <w:rsid w:val="00A91D54"/>
    <w:rsid w:val="00A926F3"/>
    <w:rsid w:val="00A927A8"/>
    <w:rsid w:val="00A9291F"/>
    <w:rsid w:val="00A92978"/>
    <w:rsid w:val="00A92B62"/>
    <w:rsid w:val="00A92CFA"/>
    <w:rsid w:val="00A9319D"/>
    <w:rsid w:val="00A932E9"/>
    <w:rsid w:val="00A93550"/>
    <w:rsid w:val="00A938FF"/>
    <w:rsid w:val="00A940FC"/>
    <w:rsid w:val="00A94123"/>
    <w:rsid w:val="00A943D3"/>
    <w:rsid w:val="00A94914"/>
    <w:rsid w:val="00A94BD1"/>
    <w:rsid w:val="00A94CDB"/>
    <w:rsid w:val="00A94D9A"/>
    <w:rsid w:val="00A95189"/>
    <w:rsid w:val="00A9519B"/>
    <w:rsid w:val="00A95286"/>
    <w:rsid w:val="00A958F2"/>
    <w:rsid w:val="00A95F90"/>
    <w:rsid w:val="00A96006"/>
    <w:rsid w:val="00A963C9"/>
    <w:rsid w:val="00A96BE4"/>
    <w:rsid w:val="00A96E32"/>
    <w:rsid w:val="00A97063"/>
    <w:rsid w:val="00A9714C"/>
    <w:rsid w:val="00A97177"/>
    <w:rsid w:val="00A971CE"/>
    <w:rsid w:val="00A97605"/>
    <w:rsid w:val="00A97B00"/>
    <w:rsid w:val="00A97B28"/>
    <w:rsid w:val="00AA0474"/>
    <w:rsid w:val="00AA05CC"/>
    <w:rsid w:val="00AA06E3"/>
    <w:rsid w:val="00AA06F9"/>
    <w:rsid w:val="00AA0CEC"/>
    <w:rsid w:val="00AA0D25"/>
    <w:rsid w:val="00AA0D36"/>
    <w:rsid w:val="00AA0D93"/>
    <w:rsid w:val="00AA0FC9"/>
    <w:rsid w:val="00AA1058"/>
    <w:rsid w:val="00AA1303"/>
    <w:rsid w:val="00AA14A9"/>
    <w:rsid w:val="00AA165C"/>
    <w:rsid w:val="00AA28E4"/>
    <w:rsid w:val="00AA2AD8"/>
    <w:rsid w:val="00AA2E69"/>
    <w:rsid w:val="00AA2F7E"/>
    <w:rsid w:val="00AA338A"/>
    <w:rsid w:val="00AA3450"/>
    <w:rsid w:val="00AA3A28"/>
    <w:rsid w:val="00AA3A3E"/>
    <w:rsid w:val="00AA3E1F"/>
    <w:rsid w:val="00AA3F05"/>
    <w:rsid w:val="00AA462B"/>
    <w:rsid w:val="00AA4C83"/>
    <w:rsid w:val="00AA4F0F"/>
    <w:rsid w:val="00AA501A"/>
    <w:rsid w:val="00AA551A"/>
    <w:rsid w:val="00AA5989"/>
    <w:rsid w:val="00AA62FE"/>
    <w:rsid w:val="00AA633A"/>
    <w:rsid w:val="00AA67DD"/>
    <w:rsid w:val="00AA684A"/>
    <w:rsid w:val="00AA68A6"/>
    <w:rsid w:val="00AA6FA8"/>
    <w:rsid w:val="00AB07DE"/>
    <w:rsid w:val="00AB084F"/>
    <w:rsid w:val="00AB0A8B"/>
    <w:rsid w:val="00AB15A7"/>
    <w:rsid w:val="00AB1A7A"/>
    <w:rsid w:val="00AB2225"/>
    <w:rsid w:val="00AB26A3"/>
    <w:rsid w:val="00AB28D3"/>
    <w:rsid w:val="00AB29E3"/>
    <w:rsid w:val="00AB338F"/>
    <w:rsid w:val="00AB360E"/>
    <w:rsid w:val="00AB3617"/>
    <w:rsid w:val="00AB3682"/>
    <w:rsid w:val="00AB3B2F"/>
    <w:rsid w:val="00AB3C93"/>
    <w:rsid w:val="00AB3E16"/>
    <w:rsid w:val="00AB3EE7"/>
    <w:rsid w:val="00AB409B"/>
    <w:rsid w:val="00AB4232"/>
    <w:rsid w:val="00AB4303"/>
    <w:rsid w:val="00AB4355"/>
    <w:rsid w:val="00AB441A"/>
    <w:rsid w:val="00AB445A"/>
    <w:rsid w:val="00AB48A1"/>
    <w:rsid w:val="00AB4C99"/>
    <w:rsid w:val="00AB4C9D"/>
    <w:rsid w:val="00AB4E4B"/>
    <w:rsid w:val="00AB4F40"/>
    <w:rsid w:val="00AB5466"/>
    <w:rsid w:val="00AB550E"/>
    <w:rsid w:val="00AB5624"/>
    <w:rsid w:val="00AB59D3"/>
    <w:rsid w:val="00AB59DF"/>
    <w:rsid w:val="00AB5A98"/>
    <w:rsid w:val="00AB5B46"/>
    <w:rsid w:val="00AB6094"/>
    <w:rsid w:val="00AB6361"/>
    <w:rsid w:val="00AB65CD"/>
    <w:rsid w:val="00AB7820"/>
    <w:rsid w:val="00AB78C9"/>
    <w:rsid w:val="00AB79FC"/>
    <w:rsid w:val="00AB7D10"/>
    <w:rsid w:val="00AB7E5C"/>
    <w:rsid w:val="00AC001C"/>
    <w:rsid w:val="00AC028D"/>
    <w:rsid w:val="00AC091B"/>
    <w:rsid w:val="00AC0B64"/>
    <w:rsid w:val="00AC1142"/>
    <w:rsid w:val="00AC1371"/>
    <w:rsid w:val="00AC196E"/>
    <w:rsid w:val="00AC1DE0"/>
    <w:rsid w:val="00AC1E40"/>
    <w:rsid w:val="00AC1F8A"/>
    <w:rsid w:val="00AC2118"/>
    <w:rsid w:val="00AC23BD"/>
    <w:rsid w:val="00AC24C5"/>
    <w:rsid w:val="00AC24D4"/>
    <w:rsid w:val="00AC2535"/>
    <w:rsid w:val="00AC2A4A"/>
    <w:rsid w:val="00AC2C42"/>
    <w:rsid w:val="00AC2EE0"/>
    <w:rsid w:val="00AC310E"/>
    <w:rsid w:val="00AC350C"/>
    <w:rsid w:val="00AC3510"/>
    <w:rsid w:val="00AC3557"/>
    <w:rsid w:val="00AC38C0"/>
    <w:rsid w:val="00AC3C99"/>
    <w:rsid w:val="00AC3E02"/>
    <w:rsid w:val="00AC3EA6"/>
    <w:rsid w:val="00AC4129"/>
    <w:rsid w:val="00AC46E0"/>
    <w:rsid w:val="00AC48A4"/>
    <w:rsid w:val="00AC4C2B"/>
    <w:rsid w:val="00AC4E71"/>
    <w:rsid w:val="00AC51F8"/>
    <w:rsid w:val="00AC5431"/>
    <w:rsid w:val="00AC5644"/>
    <w:rsid w:val="00AC6471"/>
    <w:rsid w:val="00AC6490"/>
    <w:rsid w:val="00AC6791"/>
    <w:rsid w:val="00AC72BF"/>
    <w:rsid w:val="00AC72D8"/>
    <w:rsid w:val="00AC7348"/>
    <w:rsid w:val="00AC73E7"/>
    <w:rsid w:val="00AC73FC"/>
    <w:rsid w:val="00AC7B80"/>
    <w:rsid w:val="00AD0150"/>
    <w:rsid w:val="00AD047F"/>
    <w:rsid w:val="00AD04BB"/>
    <w:rsid w:val="00AD05EC"/>
    <w:rsid w:val="00AD0764"/>
    <w:rsid w:val="00AD0D32"/>
    <w:rsid w:val="00AD0ECB"/>
    <w:rsid w:val="00AD105C"/>
    <w:rsid w:val="00AD11F8"/>
    <w:rsid w:val="00AD15ED"/>
    <w:rsid w:val="00AD1675"/>
    <w:rsid w:val="00AD169B"/>
    <w:rsid w:val="00AD1966"/>
    <w:rsid w:val="00AD1AF5"/>
    <w:rsid w:val="00AD22A9"/>
    <w:rsid w:val="00AD2382"/>
    <w:rsid w:val="00AD2562"/>
    <w:rsid w:val="00AD28FD"/>
    <w:rsid w:val="00AD2B60"/>
    <w:rsid w:val="00AD2C8D"/>
    <w:rsid w:val="00AD302B"/>
    <w:rsid w:val="00AD30A2"/>
    <w:rsid w:val="00AD3506"/>
    <w:rsid w:val="00AD367B"/>
    <w:rsid w:val="00AD3ACF"/>
    <w:rsid w:val="00AD3F4E"/>
    <w:rsid w:val="00AD418C"/>
    <w:rsid w:val="00AD425A"/>
    <w:rsid w:val="00AD4487"/>
    <w:rsid w:val="00AD4566"/>
    <w:rsid w:val="00AD4847"/>
    <w:rsid w:val="00AD4B44"/>
    <w:rsid w:val="00AD4B53"/>
    <w:rsid w:val="00AD4CED"/>
    <w:rsid w:val="00AD4E0F"/>
    <w:rsid w:val="00AD57A8"/>
    <w:rsid w:val="00AD580C"/>
    <w:rsid w:val="00AD5A25"/>
    <w:rsid w:val="00AD5A7C"/>
    <w:rsid w:val="00AD5CB3"/>
    <w:rsid w:val="00AD5D42"/>
    <w:rsid w:val="00AD6558"/>
    <w:rsid w:val="00AD6A6D"/>
    <w:rsid w:val="00AD6B31"/>
    <w:rsid w:val="00AD6F92"/>
    <w:rsid w:val="00AD6FBF"/>
    <w:rsid w:val="00AD70B0"/>
    <w:rsid w:val="00AD72B3"/>
    <w:rsid w:val="00AD74D5"/>
    <w:rsid w:val="00AD7612"/>
    <w:rsid w:val="00AD7C7A"/>
    <w:rsid w:val="00AD7DB6"/>
    <w:rsid w:val="00AD7F1E"/>
    <w:rsid w:val="00AD7F58"/>
    <w:rsid w:val="00AE0418"/>
    <w:rsid w:val="00AE05E2"/>
    <w:rsid w:val="00AE09B1"/>
    <w:rsid w:val="00AE0EE7"/>
    <w:rsid w:val="00AE12AE"/>
    <w:rsid w:val="00AE14AE"/>
    <w:rsid w:val="00AE1712"/>
    <w:rsid w:val="00AE1719"/>
    <w:rsid w:val="00AE1C7C"/>
    <w:rsid w:val="00AE2050"/>
    <w:rsid w:val="00AE268B"/>
    <w:rsid w:val="00AE26AD"/>
    <w:rsid w:val="00AE2929"/>
    <w:rsid w:val="00AE2BA2"/>
    <w:rsid w:val="00AE3204"/>
    <w:rsid w:val="00AE35C6"/>
    <w:rsid w:val="00AE361D"/>
    <w:rsid w:val="00AE3707"/>
    <w:rsid w:val="00AE386F"/>
    <w:rsid w:val="00AE38D1"/>
    <w:rsid w:val="00AE3DAF"/>
    <w:rsid w:val="00AE3DE2"/>
    <w:rsid w:val="00AE452A"/>
    <w:rsid w:val="00AE46FE"/>
    <w:rsid w:val="00AE4760"/>
    <w:rsid w:val="00AE4A9B"/>
    <w:rsid w:val="00AE4D46"/>
    <w:rsid w:val="00AE5241"/>
    <w:rsid w:val="00AE52AF"/>
    <w:rsid w:val="00AE53CB"/>
    <w:rsid w:val="00AE57CB"/>
    <w:rsid w:val="00AE58ED"/>
    <w:rsid w:val="00AE59DA"/>
    <w:rsid w:val="00AE59E2"/>
    <w:rsid w:val="00AE5B3F"/>
    <w:rsid w:val="00AE5B41"/>
    <w:rsid w:val="00AE5C44"/>
    <w:rsid w:val="00AE5EC7"/>
    <w:rsid w:val="00AE618A"/>
    <w:rsid w:val="00AE645C"/>
    <w:rsid w:val="00AE66B5"/>
    <w:rsid w:val="00AE6974"/>
    <w:rsid w:val="00AE6C39"/>
    <w:rsid w:val="00AE6CAA"/>
    <w:rsid w:val="00AE6CEB"/>
    <w:rsid w:val="00AE705D"/>
    <w:rsid w:val="00AE718B"/>
    <w:rsid w:val="00AE7507"/>
    <w:rsid w:val="00AE785F"/>
    <w:rsid w:val="00AE7948"/>
    <w:rsid w:val="00AE7D71"/>
    <w:rsid w:val="00AF00DF"/>
    <w:rsid w:val="00AF0108"/>
    <w:rsid w:val="00AF01AD"/>
    <w:rsid w:val="00AF01BA"/>
    <w:rsid w:val="00AF0496"/>
    <w:rsid w:val="00AF04C7"/>
    <w:rsid w:val="00AF04CD"/>
    <w:rsid w:val="00AF051E"/>
    <w:rsid w:val="00AF0547"/>
    <w:rsid w:val="00AF065C"/>
    <w:rsid w:val="00AF0C3B"/>
    <w:rsid w:val="00AF0CE3"/>
    <w:rsid w:val="00AF1540"/>
    <w:rsid w:val="00AF15FF"/>
    <w:rsid w:val="00AF1876"/>
    <w:rsid w:val="00AF1E7B"/>
    <w:rsid w:val="00AF21B0"/>
    <w:rsid w:val="00AF2242"/>
    <w:rsid w:val="00AF2488"/>
    <w:rsid w:val="00AF26B0"/>
    <w:rsid w:val="00AF292A"/>
    <w:rsid w:val="00AF3209"/>
    <w:rsid w:val="00AF328F"/>
    <w:rsid w:val="00AF386C"/>
    <w:rsid w:val="00AF39EE"/>
    <w:rsid w:val="00AF3C6F"/>
    <w:rsid w:val="00AF3C8B"/>
    <w:rsid w:val="00AF3DF9"/>
    <w:rsid w:val="00AF3FC9"/>
    <w:rsid w:val="00AF4558"/>
    <w:rsid w:val="00AF4866"/>
    <w:rsid w:val="00AF4992"/>
    <w:rsid w:val="00AF4CDD"/>
    <w:rsid w:val="00AF4D8F"/>
    <w:rsid w:val="00AF51E4"/>
    <w:rsid w:val="00AF5563"/>
    <w:rsid w:val="00AF58BC"/>
    <w:rsid w:val="00AF592F"/>
    <w:rsid w:val="00AF5B93"/>
    <w:rsid w:val="00AF62C0"/>
    <w:rsid w:val="00AF6306"/>
    <w:rsid w:val="00AF68FE"/>
    <w:rsid w:val="00AF6AFB"/>
    <w:rsid w:val="00AF6BFC"/>
    <w:rsid w:val="00AF6C8E"/>
    <w:rsid w:val="00AF703B"/>
    <w:rsid w:val="00AF712C"/>
    <w:rsid w:val="00AF7198"/>
    <w:rsid w:val="00AF7712"/>
    <w:rsid w:val="00AF7799"/>
    <w:rsid w:val="00AF780B"/>
    <w:rsid w:val="00B00010"/>
    <w:rsid w:val="00B000C7"/>
    <w:rsid w:val="00B0045F"/>
    <w:rsid w:val="00B00628"/>
    <w:rsid w:val="00B00A34"/>
    <w:rsid w:val="00B00CDD"/>
    <w:rsid w:val="00B0104E"/>
    <w:rsid w:val="00B01170"/>
    <w:rsid w:val="00B013E7"/>
    <w:rsid w:val="00B01704"/>
    <w:rsid w:val="00B01916"/>
    <w:rsid w:val="00B01BEE"/>
    <w:rsid w:val="00B0215F"/>
    <w:rsid w:val="00B02407"/>
    <w:rsid w:val="00B02476"/>
    <w:rsid w:val="00B02546"/>
    <w:rsid w:val="00B0260E"/>
    <w:rsid w:val="00B027D1"/>
    <w:rsid w:val="00B02D77"/>
    <w:rsid w:val="00B02FB6"/>
    <w:rsid w:val="00B031D2"/>
    <w:rsid w:val="00B03288"/>
    <w:rsid w:val="00B0394E"/>
    <w:rsid w:val="00B03998"/>
    <w:rsid w:val="00B039DE"/>
    <w:rsid w:val="00B03C34"/>
    <w:rsid w:val="00B03CAA"/>
    <w:rsid w:val="00B041A8"/>
    <w:rsid w:val="00B043AF"/>
    <w:rsid w:val="00B046AC"/>
    <w:rsid w:val="00B046AD"/>
    <w:rsid w:val="00B048C3"/>
    <w:rsid w:val="00B04B1D"/>
    <w:rsid w:val="00B04D55"/>
    <w:rsid w:val="00B05106"/>
    <w:rsid w:val="00B05288"/>
    <w:rsid w:val="00B054C1"/>
    <w:rsid w:val="00B0576A"/>
    <w:rsid w:val="00B057DF"/>
    <w:rsid w:val="00B059FA"/>
    <w:rsid w:val="00B05B69"/>
    <w:rsid w:val="00B05B81"/>
    <w:rsid w:val="00B05FB3"/>
    <w:rsid w:val="00B06044"/>
    <w:rsid w:val="00B0618A"/>
    <w:rsid w:val="00B063DA"/>
    <w:rsid w:val="00B064F1"/>
    <w:rsid w:val="00B065AF"/>
    <w:rsid w:val="00B06B34"/>
    <w:rsid w:val="00B06D45"/>
    <w:rsid w:val="00B0732E"/>
    <w:rsid w:val="00B0736C"/>
    <w:rsid w:val="00B0755D"/>
    <w:rsid w:val="00B07951"/>
    <w:rsid w:val="00B07CAA"/>
    <w:rsid w:val="00B07DBE"/>
    <w:rsid w:val="00B1067A"/>
    <w:rsid w:val="00B107F5"/>
    <w:rsid w:val="00B10985"/>
    <w:rsid w:val="00B10A9D"/>
    <w:rsid w:val="00B10AF5"/>
    <w:rsid w:val="00B1119F"/>
    <w:rsid w:val="00B1146A"/>
    <w:rsid w:val="00B117C2"/>
    <w:rsid w:val="00B11EDC"/>
    <w:rsid w:val="00B12173"/>
    <w:rsid w:val="00B1230E"/>
    <w:rsid w:val="00B1234C"/>
    <w:rsid w:val="00B1241E"/>
    <w:rsid w:val="00B12512"/>
    <w:rsid w:val="00B12552"/>
    <w:rsid w:val="00B125AA"/>
    <w:rsid w:val="00B1267F"/>
    <w:rsid w:val="00B1281D"/>
    <w:rsid w:val="00B12A32"/>
    <w:rsid w:val="00B12BE7"/>
    <w:rsid w:val="00B12E96"/>
    <w:rsid w:val="00B12F80"/>
    <w:rsid w:val="00B13013"/>
    <w:rsid w:val="00B130E5"/>
    <w:rsid w:val="00B1310A"/>
    <w:rsid w:val="00B146D5"/>
    <w:rsid w:val="00B1476A"/>
    <w:rsid w:val="00B14998"/>
    <w:rsid w:val="00B15242"/>
    <w:rsid w:val="00B1547D"/>
    <w:rsid w:val="00B154D4"/>
    <w:rsid w:val="00B1569C"/>
    <w:rsid w:val="00B15920"/>
    <w:rsid w:val="00B15AFE"/>
    <w:rsid w:val="00B15CED"/>
    <w:rsid w:val="00B15F55"/>
    <w:rsid w:val="00B1620A"/>
    <w:rsid w:val="00B162EA"/>
    <w:rsid w:val="00B169B5"/>
    <w:rsid w:val="00B16BDC"/>
    <w:rsid w:val="00B16DD5"/>
    <w:rsid w:val="00B16EE0"/>
    <w:rsid w:val="00B16F59"/>
    <w:rsid w:val="00B17405"/>
    <w:rsid w:val="00B174C9"/>
    <w:rsid w:val="00B17648"/>
    <w:rsid w:val="00B17D94"/>
    <w:rsid w:val="00B17E0A"/>
    <w:rsid w:val="00B20212"/>
    <w:rsid w:val="00B2024E"/>
    <w:rsid w:val="00B20968"/>
    <w:rsid w:val="00B20CED"/>
    <w:rsid w:val="00B21A32"/>
    <w:rsid w:val="00B21DAD"/>
    <w:rsid w:val="00B21E0E"/>
    <w:rsid w:val="00B22120"/>
    <w:rsid w:val="00B22A5B"/>
    <w:rsid w:val="00B22BA8"/>
    <w:rsid w:val="00B22CF4"/>
    <w:rsid w:val="00B22FA8"/>
    <w:rsid w:val="00B23383"/>
    <w:rsid w:val="00B23943"/>
    <w:rsid w:val="00B23B6A"/>
    <w:rsid w:val="00B23BDE"/>
    <w:rsid w:val="00B24819"/>
    <w:rsid w:val="00B24903"/>
    <w:rsid w:val="00B24A19"/>
    <w:rsid w:val="00B24A6A"/>
    <w:rsid w:val="00B24A99"/>
    <w:rsid w:val="00B24B3C"/>
    <w:rsid w:val="00B25159"/>
    <w:rsid w:val="00B25896"/>
    <w:rsid w:val="00B259E1"/>
    <w:rsid w:val="00B25A92"/>
    <w:rsid w:val="00B26044"/>
    <w:rsid w:val="00B260A7"/>
    <w:rsid w:val="00B261B6"/>
    <w:rsid w:val="00B263DF"/>
    <w:rsid w:val="00B26479"/>
    <w:rsid w:val="00B26581"/>
    <w:rsid w:val="00B2726C"/>
    <w:rsid w:val="00B272F1"/>
    <w:rsid w:val="00B27503"/>
    <w:rsid w:val="00B2771D"/>
    <w:rsid w:val="00B2776C"/>
    <w:rsid w:val="00B2779B"/>
    <w:rsid w:val="00B27918"/>
    <w:rsid w:val="00B279DC"/>
    <w:rsid w:val="00B27BD3"/>
    <w:rsid w:val="00B30251"/>
    <w:rsid w:val="00B304B6"/>
    <w:rsid w:val="00B30690"/>
    <w:rsid w:val="00B30801"/>
    <w:rsid w:val="00B3088C"/>
    <w:rsid w:val="00B309B4"/>
    <w:rsid w:val="00B30C73"/>
    <w:rsid w:val="00B30CC7"/>
    <w:rsid w:val="00B31209"/>
    <w:rsid w:val="00B312CA"/>
    <w:rsid w:val="00B31761"/>
    <w:rsid w:val="00B31814"/>
    <w:rsid w:val="00B3190C"/>
    <w:rsid w:val="00B31B52"/>
    <w:rsid w:val="00B31C96"/>
    <w:rsid w:val="00B31FBD"/>
    <w:rsid w:val="00B32151"/>
    <w:rsid w:val="00B32387"/>
    <w:rsid w:val="00B324CC"/>
    <w:rsid w:val="00B3251C"/>
    <w:rsid w:val="00B32897"/>
    <w:rsid w:val="00B329C1"/>
    <w:rsid w:val="00B329E4"/>
    <w:rsid w:val="00B32C60"/>
    <w:rsid w:val="00B33029"/>
    <w:rsid w:val="00B33281"/>
    <w:rsid w:val="00B333C2"/>
    <w:rsid w:val="00B33CB0"/>
    <w:rsid w:val="00B33CD0"/>
    <w:rsid w:val="00B33D73"/>
    <w:rsid w:val="00B34310"/>
    <w:rsid w:val="00B3461F"/>
    <w:rsid w:val="00B346C9"/>
    <w:rsid w:val="00B34972"/>
    <w:rsid w:val="00B34974"/>
    <w:rsid w:val="00B34AF4"/>
    <w:rsid w:val="00B34E86"/>
    <w:rsid w:val="00B355FD"/>
    <w:rsid w:val="00B35657"/>
    <w:rsid w:val="00B356C1"/>
    <w:rsid w:val="00B35708"/>
    <w:rsid w:val="00B359A8"/>
    <w:rsid w:val="00B35AEB"/>
    <w:rsid w:val="00B35BAC"/>
    <w:rsid w:val="00B36485"/>
    <w:rsid w:val="00B364B7"/>
    <w:rsid w:val="00B364CF"/>
    <w:rsid w:val="00B36768"/>
    <w:rsid w:val="00B36868"/>
    <w:rsid w:val="00B368C8"/>
    <w:rsid w:val="00B36BBE"/>
    <w:rsid w:val="00B36CF8"/>
    <w:rsid w:val="00B36D50"/>
    <w:rsid w:val="00B36ED3"/>
    <w:rsid w:val="00B372B3"/>
    <w:rsid w:val="00B37374"/>
    <w:rsid w:val="00B37449"/>
    <w:rsid w:val="00B4001A"/>
    <w:rsid w:val="00B404A1"/>
    <w:rsid w:val="00B406D7"/>
    <w:rsid w:val="00B4100D"/>
    <w:rsid w:val="00B410EA"/>
    <w:rsid w:val="00B410FE"/>
    <w:rsid w:val="00B4122B"/>
    <w:rsid w:val="00B415EC"/>
    <w:rsid w:val="00B41722"/>
    <w:rsid w:val="00B41C1D"/>
    <w:rsid w:val="00B41E11"/>
    <w:rsid w:val="00B4206B"/>
    <w:rsid w:val="00B4217D"/>
    <w:rsid w:val="00B42401"/>
    <w:rsid w:val="00B425D8"/>
    <w:rsid w:val="00B42721"/>
    <w:rsid w:val="00B42AC8"/>
    <w:rsid w:val="00B43AA6"/>
    <w:rsid w:val="00B43AE3"/>
    <w:rsid w:val="00B43CA7"/>
    <w:rsid w:val="00B43EEA"/>
    <w:rsid w:val="00B44016"/>
    <w:rsid w:val="00B440F1"/>
    <w:rsid w:val="00B44428"/>
    <w:rsid w:val="00B44E9B"/>
    <w:rsid w:val="00B45395"/>
    <w:rsid w:val="00B45A39"/>
    <w:rsid w:val="00B4601B"/>
    <w:rsid w:val="00B46D84"/>
    <w:rsid w:val="00B46FE5"/>
    <w:rsid w:val="00B47160"/>
    <w:rsid w:val="00B474A3"/>
    <w:rsid w:val="00B47711"/>
    <w:rsid w:val="00B47C58"/>
    <w:rsid w:val="00B47CAA"/>
    <w:rsid w:val="00B47FA5"/>
    <w:rsid w:val="00B500A0"/>
    <w:rsid w:val="00B500EA"/>
    <w:rsid w:val="00B50285"/>
    <w:rsid w:val="00B5074A"/>
    <w:rsid w:val="00B50AD0"/>
    <w:rsid w:val="00B50BBC"/>
    <w:rsid w:val="00B50ED1"/>
    <w:rsid w:val="00B5132B"/>
    <w:rsid w:val="00B516D8"/>
    <w:rsid w:val="00B51D97"/>
    <w:rsid w:val="00B51F95"/>
    <w:rsid w:val="00B52045"/>
    <w:rsid w:val="00B5210E"/>
    <w:rsid w:val="00B5217C"/>
    <w:rsid w:val="00B52B35"/>
    <w:rsid w:val="00B52F65"/>
    <w:rsid w:val="00B530C1"/>
    <w:rsid w:val="00B53623"/>
    <w:rsid w:val="00B53996"/>
    <w:rsid w:val="00B53D41"/>
    <w:rsid w:val="00B53ECD"/>
    <w:rsid w:val="00B54065"/>
    <w:rsid w:val="00B540D7"/>
    <w:rsid w:val="00B54427"/>
    <w:rsid w:val="00B54667"/>
    <w:rsid w:val="00B548CC"/>
    <w:rsid w:val="00B54964"/>
    <w:rsid w:val="00B5533C"/>
    <w:rsid w:val="00B553F4"/>
    <w:rsid w:val="00B55637"/>
    <w:rsid w:val="00B55946"/>
    <w:rsid w:val="00B55966"/>
    <w:rsid w:val="00B55D40"/>
    <w:rsid w:val="00B56518"/>
    <w:rsid w:val="00B56E37"/>
    <w:rsid w:val="00B571E2"/>
    <w:rsid w:val="00B57242"/>
    <w:rsid w:val="00B57512"/>
    <w:rsid w:val="00B57710"/>
    <w:rsid w:val="00B57B41"/>
    <w:rsid w:val="00B57B79"/>
    <w:rsid w:val="00B57C38"/>
    <w:rsid w:val="00B57CBB"/>
    <w:rsid w:val="00B57CD4"/>
    <w:rsid w:val="00B600B3"/>
    <w:rsid w:val="00B6059D"/>
    <w:rsid w:val="00B605F0"/>
    <w:rsid w:val="00B606EB"/>
    <w:rsid w:val="00B607F8"/>
    <w:rsid w:val="00B608FB"/>
    <w:rsid w:val="00B60A1C"/>
    <w:rsid w:val="00B60A64"/>
    <w:rsid w:val="00B60DB3"/>
    <w:rsid w:val="00B60E55"/>
    <w:rsid w:val="00B60E5E"/>
    <w:rsid w:val="00B60E86"/>
    <w:rsid w:val="00B60EB6"/>
    <w:rsid w:val="00B6184E"/>
    <w:rsid w:val="00B61F8F"/>
    <w:rsid w:val="00B621D9"/>
    <w:rsid w:val="00B624FD"/>
    <w:rsid w:val="00B627A4"/>
    <w:rsid w:val="00B62D19"/>
    <w:rsid w:val="00B630B9"/>
    <w:rsid w:val="00B63236"/>
    <w:rsid w:val="00B63662"/>
    <w:rsid w:val="00B63684"/>
    <w:rsid w:val="00B63D76"/>
    <w:rsid w:val="00B64052"/>
    <w:rsid w:val="00B64148"/>
    <w:rsid w:val="00B64156"/>
    <w:rsid w:val="00B64299"/>
    <w:rsid w:val="00B6433B"/>
    <w:rsid w:val="00B643D5"/>
    <w:rsid w:val="00B64461"/>
    <w:rsid w:val="00B648D4"/>
    <w:rsid w:val="00B64ED4"/>
    <w:rsid w:val="00B64EDD"/>
    <w:rsid w:val="00B64F03"/>
    <w:rsid w:val="00B65433"/>
    <w:rsid w:val="00B65925"/>
    <w:rsid w:val="00B659D3"/>
    <w:rsid w:val="00B65AF6"/>
    <w:rsid w:val="00B65BA1"/>
    <w:rsid w:val="00B662C5"/>
    <w:rsid w:val="00B6646C"/>
    <w:rsid w:val="00B66673"/>
    <w:rsid w:val="00B66B48"/>
    <w:rsid w:val="00B66D5A"/>
    <w:rsid w:val="00B6701C"/>
    <w:rsid w:val="00B670E6"/>
    <w:rsid w:val="00B675CC"/>
    <w:rsid w:val="00B678F0"/>
    <w:rsid w:val="00B67C01"/>
    <w:rsid w:val="00B67D3D"/>
    <w:rsid w:val="00B67E4C"/>
    <w:rsid w:val="00B70150"/>
    <w:rsid w:val="00B7045E"/>
    <w:rsid w:val="00B70777"/>
    <w:rsid w:val="00B708E9"/>
    <w:rsid w:val="00B70A93"/>
    <w:rsid w:val="00B70CA1"/>
    <w:rsid w:val="00B70FF4"/>
    <w:rsid w:val="00B7106C"/>
    <w:rsid w:val="00B711EF"/>
    <w:rsid w:val="00B71231"/>
    <w:rsid w:val="00B713E8"/>
    <w:rsid w:val="00B719ED"/>
    <w:rsid w:val="00B71AAA"/>
    <w:rsid w:val="00B71F63"/>
    <w:rsid w:val="00B72233"/>
    <w:rsid w:val="00B7255B"/>
    <w:rsid w:val="00B725EB"/>
    <w:rsid w:val="00B72B38"/>
    <w:rsid w:val="00B7369D"/>
    <w:rsid w:val="00B737D1"/>
    <w:rsid w:val="00B73966"/>
    <w:rsid w:val="00B739C3"/>
    <w:rsid w:val="00B73BCA"/>
    <w:rsid w:val="00B73C4C"/>
    <w:rsid w:val="00B73CDA"/>
    <w:rsid w:val="00B73E93"/>
    <w:rsid w:val="00B740A3"/>
    <w:rsid w:val="00B740D0"/>
    <w:rsid w:val="00B74442"/>
    <w:rsid w:val="00B744DE"/>
    <w:rsid w:val="00B74C07"/>
    <w:rsid w:val="00B750B4"/>
    <w:rsid w:val="00B75391"/>
    <w:rsid w:val="00B7546E"/>
    <w:rsid w:val="00B75908"/>
    <w:rsid w:val="00B75BE7"/>
    <w:rsid w:val="00B75D99"/>
    <w:rsid w:val="00B75E76"/>
    <w:rsid w:val="00B76026"/>
    <w:rsid w:val="00B7627E"/>
    <w:rsid w:val="00B76851"/>
    <w:rsid w:val="00B7690A"/>
    <w:rsid w:val="00B76C3D"/>
    <w:rsid w:val="00B7759A"/>
    <w:rsid w:val="00B77758"/>
    <w:rsid w:val="00B77DC6"/>
    <w:rsid w:val="00B77DD9"/>
    <w:rsid w:val="00B77E6F"/>
    <w:rsid w:val="00B802ED"/>
    <w:rsid w:val="00B80940"/>
    <w:rsid w:val="00B80B90"/>
    <w:rsid w:val="00B80D39"/>
    <w:rsid w:val="00B81229"/>
    <w:rsid w:val="00B8122A"/>
    <w:rsid w:val="00B813ED"/>
    <w:rsid w:val="00B816C0"/>
    <w:rsid w:val="00B81F55"/>
    <w:rsid w:val="00B82606"/>
    <w:rsid w:val="00B82917"/>
    <w:rsid w:val="00B82963"/>
    <w:rsid w:val="00B82B6D"/>
    <w:rsid w:val="00B82CF1"/>
    <w:rsid w:val="00B82E44"/>
    <w:rsid w:val="00B82E90"/>
    <w:rsid w:val="00B831F6"/>
    <w:rsid w:val="00B833CE"/>
    <w:rsid w:val="00B836E9"/>
    <w:rsid w:val="00B83809"/>
    <w:rsid w:val="00B83A42"/>
    <w:rsid w:val="00B83A91"/>
    <w:rsid w:val="00B83B30"/>
    <w:rsid w:val="00B83EDF"/>
    <w:rsid w:val="00B840ED"/>
    <w:rsid w:val="00B846C4"/>
    <w:rsid w:val="00B84ADD"/>
    <w:rsid w:val="00B84D4F"/>
    <w:rsid w:val="00B85216"/>
    <w:rsid w:val="00B854BB"/>
    <w:rsid w:val="00B85650"/>
    <w:rsid w:val="00B859FA"/>
    <w:rsid w:val="00B85AA3"/>
    <w:rsid w:val="00B85BA2"/>
    <w:rsid w:val="00B85D42"/>
    <w:rsid w:val="00B8629D"/>
    <w:rsid w:val="00B863DC"/>
    <w:rsid w:val="00B867A2"/>
    <w:rsid w:val="00B8692E"/>
    <w:rsid w:val="00B86C26"/>
    <w:rsid w:val="00B86FE6"/>
    <w:rsid w:val="00B8702E"/>
    <w:rsid w:val="00B871D1"/>
    <w:rsid w:val="00B87540"/>
    <w:rsid w:val="00B87E1C"/>
    <w:rsid w:val="00B87EF2"/>
    <w:rsid w:val="00B87FFD"/>
    <w:rsid w:val="00B90214"/>
    <w:rsid w:val="00B90309"/>
    <w:rsid w:val="00B90441"/>
    <w:rsid w:val="00B907E4"/>
    <w:rsid w:val="00B90F63"/>
    <w:rsid w:val="00B91524"/>
    <w:rsid w:val="00B91A73"/>
    <w:rsid w:val="00B91FB3"/>
    <w:rsid w:val="00B922F6"/>
    <w:rsid w:val="00B92832"/>
    <w:rsid w:val="00B92A13"/>
    <w:rsid w:val="00B92BF5"/>
    <w:rsid w:val="00B92CE8"/>
    <w:rsid w:val="00B92DA1"/>
    <w:rsid w:val="00B93166"/>
    <w:rsid w:val="00B9334A"/>
    <w:rsid w:val="00B93C72"/>
    <w:rsid w:val="00B94161"/>
    <w:rsid w:val="00B94251"/>
    <w:rsid w:val="00B948AC"/>
    <w:rsid w:val="00B94A79"/>
    <w:rsid w:val="00B9511D"/>
    <w:rsid w:val="00B953D2"/>
    <w:rsid w:val="00B95BDA"/>
    <w:rsid w:val="00B95CC3"/>
    <w:rsid w:val="00B95FCB"/>
    <w:rsid w:val="00B965B4"/>
    <w:rsid w:val="00B96B1D"/>
    <w:rsid w:val="00B96B67"/>
    <w:rsid w:val="00B96BAB"/>
    <w:rsid w:val="00B97029"/>
    <w:rsid w:val="00B973AA"/>
    <w:rsid w:val="00B9789F"/>
    <w:rsid w:val="00B97920"/>
    <w:rsid w:val="00B97DB4"/>
    <w:rsid w:val="00B97DF0"/>
    <w:rsid w:val="00BA03D0"/>
    <w:rsid w:val="00BA064D"/>
    <w:rsid w:val="00BA06C8"/>
    <w:rsid w:val="00BA0A37"/>
    <w:rsid w:val="00BA0E0A"/>
    <w:rsid w:val="00BA0E79"/>
    <w:rsid w:val="00BA11B5"/>
    <w:rsid w:val="00BA1399"/>
    <w:rsid w:val="00BA1523"/>
    <w:rsid w:val="00BA1D65"/>
    <w:rsid w:val="00BA1EA0"/>
    <w:rsid w:val="00BA203B"/>
    <w:rsid w:val="00BA210B"/>
    <w:rsid w:val="00BA21BB"/>
    <w:rsid w:val="00BA233E"/>
    <w:rsid w:val="00BA2543"/>
    <w:rsid w:val="00BA2C8C"/>
    <w:rsid w:val="00BA3185"/>
    <w:rsid w:val="00BA3293"/>
    <w:rsid w:val="00BA33EE"/>
    <w:rsid w:val="00BA385D"/>
    <w:rsid w:val="00BA3F96"/>
    <w:rsid w:val="00BA41F0"/>
    <w:rsid w:val="00BA4A64"/>
    <w:rsid w:val="00BA4AA9"/>
    <w:rsid w:val="00BA4C6D"/>
    <w:rsid w:val="00BA5338"/>
    <w:rsid w:val="00BA588E"/>
    <w:rsid w:val="00BA5C0F"/>
    <w:rsid w:val="00BA629B"/>
    <w:rsid w:val="00BA6759"/>
    <w:rsid w:val="00BA67C4"/>
    <w:rsid w:val="00BA6C8B"/>
    <w:rsid w:val="00BA6CE1"/>
    <w:rsid w:val="00BA6D8B"/>
    <w:rsid w:val="00BA6E27"/>
    <w:rsid w:val="00BA6E87"/>
    <w:rsid w:val="00BA71F1"/>
    <w:rsid w:val="00BA720F"/>
    <w:rsid w:val="00BA7745"/>
    <w:rsid w:val="00BA788B"/>
    <w:rsid w:val="00BA7938"/>
    <w:rsid w:val="00BA7D5A"/>
    <w:rsid w:val="00BB0050"/>
    <w:rsid w:val="00BB0239"/>
    <w:rsid w:val="00BB03D2"/>
    <w:rsid w:val="00BB0471"/>
    <w:rsid w:val="00BB0554"/>
    <w:rsid w:val="00BB0565"/>
    <w:rsid w:val="00BB0707"/>
    <w:rsid w:val="00BB08AA"/>
    <w:rsid w:val="00BB0911"/>
    <w:rsid w:val="00BB0AB7"/>
    <w:rsid w:val="00BB0E09"/>
    <w:rsid w:val="00BB10D3"/>
    <w:rsid w:val="00BB115B"/>
    <w:rsid w:val="00BB1525"/>
    <w:rsid w:val="00BB1675"/>
    <w:rsid w:val="00BB19BD"/>
    <w:rsid w:val="00BB1C2A"/>
    <w:rsid w:val="00BB213D"/>
    <w:rsid w:val="00BB27A8"/>
    <w:rsid w:val="00BB2AFA"/>
    <w:rsid w:val="00BB2C2B"/>
    <w:rsid w:val="00BB31DC"/>
    <w:rsid w:val="00BB333F"/>
    <w:rsid w:val="00BB33B9"/>
    <w:rsid w:val="00BB3449"/>
    <w:rsid w:val="00BB3479"/>
    <w:rsid w:val="00BB361D"/>
    <w:rsid w:val="00BB3D29"/>
    <w:rsid w:val="00BB40B4"/>
    <w:rsid w:val="00BB4237"/>
    <w:rsid w:val="00BB437A"/>
    <w:rsid w:val="00BB446A"/>
    <w:rsid w:val="00BB459B"/>
    <w:rsid w:val="00BB4604"/>
    <w:rsid w:val="00BB46EE"/>
    <w:rsid w:val="00BB4B7A"/>
    <w:rsid w:val="00BB4EAF"/>
    <w:rsid w:val="00BB4F96"/>
    <w:rsid w:val="00BB55FE"/>
    <w:rsid w:val="00BB57C1"/>
    <w:rsid w:val="00BB5E41"/>
    <w:rsid w:val="00BB5E9E"/>
    <w:rsid w:val="00BB6112"/>
    <w:rsid w:val="00BB6784"/>
    <w:rsid w:val="00BB682A"/>
    <w:rsid w:val="00BB6B03"/>
    <w:rsid w:val="00BB6B74"/>
    <w:rsid w:val="00BB6C87"/>
    <w:rsid w:val="00BB6E65"/>
    <w:rsid w:val="00BB6FCC"/>
    <w:rsid w:val="00BB73A2"/>
    <w:rsid w:val="00BB748B"/>
    <w:rsid w:val="00BB76AD"/>
    <w:rsid w:val="00BB7A1A"/>
    <w:rsid w:val="00BB7B74"/>
    <w:rsid w:val="00BB7C21"/>
    <w:rsid w:val="00BB7E40"/>
    <w:rsid w:val="00BB7F10"/>
    <w:rsid w:val="00BC0132"/>
    <w:rsid w:val="00BC0164"/>
    <w:rsid w:val="00BC0416"/>
    <w:rsid w:val="00BC0445"/>
    <w:rsid w:val="00BC06CB"/>
    <w:rsid w:val="00BC0827"/>
    <w:rsid w:val="00BC09D5"/>
    <w:rsid w:val="00BC0AB4"/>
    <w:rsid w:val="00BC11B4"/>
    <w:rsid w:val="00BC1752"/>
    <w:rsid w:val="00BC1773"/>
    <w:rsid w:val="00BC186C"/>
    <w:rsid w:val="00BC1B5D"/>
    <w:rsid w:val="00BC1BFE"/>
    <w:rsid w:val="00BC1C5B"/>
    <w:rsid w:val="00BC1D95"/>
    <w:rsid w:val="00BC1F46"/>
    <w:rsid w:val="00BC1F5C"/>
    <w:rsid w:val="00BC207F"/>
    <w:rsid w:val="00BC225B"/>
    <w:rsid w:val="00BC2767"/>
    <w:rsid w:val="00BC2AEF"/>
    <w:rsid w:val="00BC2DEC"/>
    <w:rsid w:val="00BC2FEA"/>
    <w:rsid w:val="00BC337A"/>
    <w:rsid w:val="00BC37B6"/>
    <w:rsid w:val="00BC38BE"/>
    <w:rsid w:val="00BC3A97"/>
    <w:rsid w:val="00BC4B5D"/>
    <w:rsid w:val="00BC4E7C"/>
    <w:rsid w:val="00BC4FA8"/>
    <w:rsid w:val="00BC509D"/>
    <w:rsid w:val="00BC5246"/>
    <w:rsid w:val="00BC54F4"/>
    <w:rsid w:val="00BC59B0"/>
    <w:rsid w:val="00BC5A0F"/>
    <w:rsid w:val="00BC5A38"/>
    <w:rsid w:val="00BC5B17"/>
    <w:rsid w:val="00BC5B2D"/>
    <w:rsid w:val="00BC6071"/>
    <w:rsid w:val="00BC623A"/>
    <w:rsid w:val="00BC65C9"/>
    <w:rsid w:val="00BC6618"/>
    <w:rsid w:val="00BC6908"/>
    <w:rsid w:val="00BC6BE3"/>
    <w:rsid w:val="00BC6EC2"/>
    <w:rsid w:val="00BC6F96"/>
    <w:rsid w:val="00BC79EE"/>
    <w:rsid w:val="00BC7ECB"/>
    <w:rsid w:val="00BC7F4B"/>
    <w:rsid w:val="00BD0044"/>
    <w:rsid w:val="00BD0627"/>
    <w:rsid w:val="00BD09A0"/>
    <w:rsid w:val="00BD0B0B"/>
    <w:rsid w:val="00BD0B20"/>
    <w:rsid w:val="00BD0D82"/>
    <w:rsid w:val="00BD0DFA"/>
    <w:rsid w:val="00BD0F6E"/>
    <w:rsid w:val="00BD1121"/>
    <w:rsid w:val="00BD148C"/>
    <w:rsid w:val="00BD1597"/>
    <w:rsid w:val="00BD18AA"/>
    <w:rsid w:val="00BD1BCC"/>
    <w:rsid w:val="00BD21BE"/>
    <w:rsid w:val="00BD2253"/>
    <w:rsid w:val="00BD2381"/>
    <w:rsid w:val="00BD2683"/>
    <w:rsid w:val="00BD271A"/>
    <w:rsid w:val="00BD2EF6"/>
    <w:rsid w:val="00BD2F25"/>
    <w:rsid w:val="00BD34CC"/>
    <w:rsid w:val="00BD34DE"/>
    <w:rsid w:val="00BD35EC"/>
    <w:rsid w:val="00BD3666"/>
    <w:rsid w:val="00BD3BEB"/>
    <w:rsid w:val="00BD3CCB"/>
    <w:rsid w:val="00BD3E49"/>
    <w:rsid w:val="00BD42AA"/>
    <w:rsid w:val="00BD4493"/>
    <w:rsid w:val="00BD4A95"/>
    <w:rsid w:val="00BD52A1"/>
    <w:rsid w:val="00BD52FC"/>
    <w:rsid w:val="00BD5583"/>
    <w:rsid w:val="00BD5886"/>
    <w:rsid w:val="00BD5A68"/>
    <w:rsid w:val="00BD5FAA"/>
    <w:rsid w:val="00BD6168"/>
    <w:rsid w:val="00BD6196"/>
    <w:rsid w:val="00BD62F1"/>
    <w:rsid w:val="00BD69B3"/>
    <w:rsid w:val="00BD6C33"/>
    <w:rsid w:val="00BD7628"/>
    <w:rsid w:val="00BD7B82"/>
    <w:rsid w:val="00BE0099"/>
    <w:rsid w:val="00BE01E2"/>
    <w:rsid w:val="00BE0427"/>
    <w:rsid w:val="00BE04ED"/>
    <w:rsid w:val="00BE053F"/>
    <w:rsid w:val="00BE0653"/>
    <w:rsid w:val="00BE0B52"/>
    <w:rsid w:val="00BE0FE1"/>
    <w:rsid w:val="00BE1054"/>
    <w:rsid w:val="00BE15DE"/>
    <w:rsid w:val="00BE15E9"/>
    <w:rsid w:val="00BE16EA"/>
    <w:rsid w:val="00BE17DA"/>
    <w:rsid w:val="00BE18E2"/>
    <w:rsid w:val="00BE1B37"/>
    <w:rsid w:val="00BE21C4"/>
    <w:rsid w:val="00BE2708"/>
    <w:rsid w:val="00BE2A05"/>
    <w:rsid w:val="00BE2A1A"/>
    <w:rsid w:val="00BE2E1D"/>
    <w:rsid w:val="00BE2F0D"/>
    <w:rsid w:val="00BE3334"/>
    <w:rsid w:val="00BE367E"/>
    <w:rsid w:val="00BE3A45"/>
    <w:rsid w:val="00BE4113"/>
    <w:rsid w:val="00BE4267"/>
    <w:rsid w:val="00BE433B"/>
    <w:rsid w:val="00BE43BB"/>
    <w:rsid w:val="00BE48A9"/>
    <w:rsid w:val="00BE4946"/>
    <w:rsid w:val="00BE49FE"/>
    <w:rsid w:val="00BE4D05"/>
    <w:rsid w:val="00BE4D09"/>
    <w:rsid w:val="00BE4D1A"/>
    <w:rsid w:val="00BE4E7A"/>
    <w:rsid w:val="00BE51EB"/>
    <w:rsid w:val="00BE522D"/>
    <w:rsid w:val="00BE53E4"/>
    <w:rsid w:val="00BE54C7"/>
    <w:rsid w:val="00BE54E6"/>
    <w:rsid w:val="00BE55E5"/>
    <w:rsid w:val="00BE5622"/>
    <w:rsid w:val="00BE5F1A"/>
    <w:rsid w:val="00BE60D4"/>
    <w:rsid w:val="00BE6112"/>
    <w:rsid w:val="00BE6646"/>
    <w:rsid w:val="00BE6C47"/>
    <w:rsid w:val="00BE6F05"/>
    <w:rsid w:val="00BE7731"/>
    <w:rsid w:val="00BE7A34"/>
    <w:rsid w:val="00BF0598"/>
    <w:rsid w:val="00BF0632"/>
    <w:rsid w:val="00BF085F"/>
    <w:rsid w:val="00BF08BA"/>
    <w:rsid w:val="00BF0CE2"/>
    <w:rsid w:val="00BF11C9"/>
    <w:rsid w:val="00BF12FA"/>
    <w:rsid w:val="00BF1B7D"/>
    <w:rsid w:val="00BF1CEF"/>
    <w:rsid w:val="00BF1F46"/>
    <w:rsid w:val="00BF2162"/>
    <w:rsid w:val="00BF23C7"/>
    <w:rsid w:val="00BF27A4"/>
    <w:rsid w:val="00BF294E"/>
    <w:rsid w:val="00BF2AE2"/>
    <w:rsid w:val="00BF2B55"/>
    <w:rsid w:val="00BF2BB2"/>
    <w:rsid w:val="00BF2C29"/>
    <w:rsid w:val="00BF33E5"/>
    <w:rsid w:val="00BF34A2"/>
    <w:rsid w:val="00BF3646"/>
    <w:rsid w:val="00BF3703"/>
    <w:rsid w:val="00BF392B"/>
    <w:rsid w:val="00BF3AFF"/>
    <w:rsid w:val="00BF3F7A"/>
    <w:rsid w:val="00BF4618"/>
    <w:rsid w:val="00BF4D92"/>
    <w:rsid w:val="00BF4EC9"/>
    <w:rsid w:val="00BF4F0C"/>
    <w:rsid w:val="00BF4FB7"/>
    <w:rsid w:val="00BF50FB"/>
    <w:rsid w:val="00BF51F7"/>
    <w:rsid w:val="00BF545C"/>
    <w:rsid w:val="00BF5569"/>
    <w:rsid w:val="00BF5642"/>
    <w:rsid w:val="00BF58A3"/>
    <w:rsid w:val="00BF5911"/>
    <w:rsid w:val="00BF5B6F"/>
    <w:rsid w:val="00BF5D31"/>
    <w:rsid w:val="00BF5D74"/>
    <w:rsid w:val="00BF5E4A"/>
    <w:rsid w:val="00BF60F1"/>
    <w:rsid w:val="00BF6437"/>
    <w:rsid w:val="00BF64BB"/>
    <w:rsid w:val="00BF67D9"/>
    <w:rsid w:val="00BF69AA"/>
    <w:rsid w:val="00BF6A14"/>
    <w:rsid w:val="00BF6B75"/>
    <w:rsid w:val="00BF71B0"/>
    <w:rsid w:val="00BF766B"/>
    <w:rsid w:val="00BF779C"/>
    <w:rsid w:val="00BF7D5D"/>
    <w:rsid w:val="00BF7E25"/>
    <w:rsid w:val="00BF7F38"/>
    <w:rsid w:val="00C0005A"/>
    <w:rsid w:val="00C00090"/>
    <w:rsid w:val="00C00C9E"/>
    <w:rsid w:val="00C0163B"/>
    <w:rsid w:val="00C01C58"/>
    <w:rsid w:val="00C01D50"/>
    <w:rsid w:val="00C01DA2"/>
    <w:rsid w:val="00C026DC"/>
    <w:rsid w:val="00C026EC"/>
    <w:rsid w:val="00C02CF2"/>
    <w:rsid w:val="00C02E30"/>
    <w:rsid w:val="00C03026"/>
    <w:rsid w:val="00C0313C"/>
    <w:rsid w:val="00C0316C"/>
    <w:rsid w:val="00C03305"/>
    <w:rsid w:val="00C03374"/>
    <w:rsid w:val="00C034B2"/>
    <w:rsid w:val="00C047AC"/>
    <w:rsid w:val="00C04AF3"/>
    <w:rsid w:val="00C04DDA"/>
    <w:rsid w:val="00C0506E"/>
    <w:rsid w:val="00C0557B"/>
    <w:rsid w:val="00C05770"/>
    <w:rsid w:val="00C05B80"/>
    <w:rsid w:val="00C05F9A"/>
    <w:rsid w:val="00C07040"/>
    <w:rsid w:val="00C0729E"/>
    <w:rsid w:val="00C0784B"/>
    <w:rsid w:val="00C07A0D"/>
    <w:rsid w:val="00C07CD7"/>
    <w:rsid w:val="00C10605"/>
    <w:rsid w:val="00C10956"/>
    <w:rsid w:val="00C10B5D"/>
    <w:rsid w:val="00C10C5C"/>
    <w:rsid w:val="00C10CA2"/>
    <w:rsid w:val="00C10D6D"/>
    <w:rsid w:val="00C10EC3"/>
    <w:rsid w:val="00C1121E"/>
    <w:rsid w:val="00C1184C"/>
    <w:rsid w:val="00C11B81"/>
    <w:rsid w:val="00C11E91"/>
    <w:rsid w:val="00C1223E"/>
    <w:rsid w:val="00C12745"/>
    <w:rsid w:val="00C12930"/>
    <w:rsid w:val="00C12B78"/>
    <w:rsid w:val="00C12C88"/>
    <w:rsid w:val="00C12D31"/>
    <w:rsid w:val="00C12E7A"/>
    <w:rsid w:val="00C13839"/>
    <w:rsid w:val="00C13B1E"/>
    <w:rsid w:val="00C13BAE"/>
    <w:rsid w:val="00C13BC5"/>
    <w:rsid w:val="00C1461C"/>
    <w:rsid w:val="00C14B4F"/>
    <w:rsid w:val="00C1543A"/>
    <w:rsid w:val="00C15449"/>
    <w:rsid w:val="00C1564D"/>
    <w:rsid w:val="00C15752"/>
    <w:rsid w:val="00C1588F"/>
    <w:rsid w:val="00C15E07"/>
    <w:rsid w:val="00C1607C"/>
    <w:rsid w:val="00C16260"/>
    <w:rsid w:val="00C16278"/>
    <w:rsid w:val="00C16400"/>
    <w:rsid w:val="00C1672B"/>
    <w:rsid w:val="00C167D6"/>
    <w:rsid w:val="00C167EC"/>
    <w:rsid w:val="00C169B2"/>
    <w:rsid w:val="00C17994"/>
    <w:rsid w:val="00C17E83"/>
    <w:rsid w:val="00C17FAB"/>
    <w:rsid w:val="00C20011"/>
    <w:rsid w:val="00C20068"/>
    <w:rsid w:val="00C20287"/>
    <w:rsid w:val="00C202CD"/>
    <w:rsid w:val="00C2042C"/>
    <w:rsid w:val="00C20552"/>
    <w:rsid w:val="00C20555"/>
    <w:rsid w:val="00C20735"/>
    <w:rsid w:val="00C20883"/>
    <w:rsid w:val="00C20905"/>
    <w:rsid w:val="00C20DB5"/>
    <w:rsid w:val="00C20EEB"/>
    <w:rsid w:val="00C21474"/>
    <w:rsid w:val="00C21EE2"/>
    <w:rsid w:val="00C224D6"/>
    <w:rsid w:val="00C22709"/>
    <w:rsid w:val="00C22893"/>
    <w:rsid w:val="00C2297C"/>
    <w:rsid w:val="00C22A3F"/>
    <w:rsid w:val="00C22B5F"/>
    <w:rsid w:val="00C22D15"/>
    <w:rsid w:val="00C22F94"/>
    <w:rsid w:val="00C23200"/>
    <w:rsid w:val="00C2333E"/>
    <w:rsid w:val="00C233F0"/>
    <w:rsid w:val="00C234CD"/>
    <w:rsid w:val="00C235ED"/>
    <w:rsid w:val="00C23741"/>
    <w:rsid w:val="00C23ABE"/>
    <w:rsid w:val="00C23D5B"/>
    <w:rsid w:val="00C23D81"/>
    <w:rsid w:val="00C23E42"/>
    <w:rsid w:val="00C248BD"/>
    <w:rsid w:val="00C24E40"/>
    <w:rsid w:val="00C25031"/>
    <w:rsid w:val="00C2536A"/>
    <w:rsid w:val="00C25548"/>
    <w:rsid w:val="00C25562"/>
    <w:rsid w:val="00C2570A"/>
    <w:rsid w:val="00C2575B"/>
    <w:rsid w:val="00C25EA3"/>
    <w:rsid w:val="00C26281"/>
    <w:rsid w:val="00C27015"/>
    <w:rsid w:val="00C27368"/>
    <w:rsid w:val="00C2758E"/>
    <w:rsid w:val="00C2799F"/>
    <w:rsid w:val="00C27B94"/>
    <w:rsid w:val="00C27CA0"/>
    <w:rsid w:val="00C27FA8"/>
    <w:rsid w:val="00C30081"/>
    <w:rsid w:val="00C3022B"/>
    <w:rsid w:val="00C30446"/>
    <w:rsid w:val="00C30612"/>
    <w:rsid w:val="00C307B6"/>
    <w:rsid w:val="00C30863"/>
    <w:rsid w:val="00C30AD6"/>
    <w:rsid w:val="00C30AD8"/>
    <w:rsid w:val="00C31633"/>
    <w:rsid w:val="00C318CB"/>
    <w:rsid w:val="00C32236"/>
    <w:rsid w:val="00C32474"/>
    <w:rsid w:val="00C327A0"/>
    <w:rsid w:val="00C32917"/>
    <w:rsid w:val="00C32EC1"/>
    <w:rsid w:val="00C330CD"/>
    <w:rsid w:val="00C33408"/>
    <w:rsid w:val="00C33968"/>
    <w:rsid w:val="00C33E70"/>
    <w:rsid w:val="00C33EB5"/>
    <w:rsid w:val="00C33FEC"/>
    <w:rsid w:val="00C341FF"/>
    <w:rsid w:val="00C342FB"/>
    <w:rsid w:val="00C347A4"/>
    <w:rsid w:val="00C348D7"/>
    <w:rsid w:val="00C348E3"/>
    <w:rsid w:val="00C3497F"/>
    <w:rsid w:val="00C34AE1"/>
    <w:rsid w:val="00C350E5"/>
    <w:rsid w:val="00C354B0"/>
    <w:rsid w:val="00C3556E"/>
    <w:rsid w:val="00C35766"/>
    <w:rsid w:val="00C35BCB"/>
    <w:rsid w:val="00C36087"/>
    <w:rsid w:val="00C363AC"/>
    <w:rsid w:val="00C3649D"/>
    <w:rsid w:val="00C364CB"/>
    <w:rsid w:val="00C36C2B"/>
    <w:rsid w:val="00C36FEE"/>
    <w:rsid w:val="00C37396"/>
    <w:rsid w:val="00C3759F"/>
    <w:rsid w:val="00C378BB"/>
    <w:rsid w:val="00C37985"/>
    <w:rsid w:val="00C37B72"/>
    <w:rsid w:val="00C37B89"/>
    <w:rsid w:val="00C37CDD"/>
    <w:rsid w:val="00C403FA"/>
    <w:rsid w:val="00C4090C"/>
    <w:rsid w:val="00C40A38"/>
    <w:rsid w:val="00C40D92"/>
    <w:rsid w:val="00C40D97"/>
    <w:rsid w:val="00C40F89"/>
    <w:rsid w:val="00C411FB"/>
    <w:rsid w:val="00C4158B"/>
    <w:rsid w:val="00C415AE"/>
    <w:rsid w:val="00C4168B"/>
    <w:rsid w:val="00C4177A"/>
    <w:rsid w:val="00C418FB"/>
    <w:rsid w:val="00C41AB3"/>
    <w:rsid w:val="00C41D0E"/>
    <w:rsid w:val="00C41F2B"/>
    <w:rsid w:val="00C423B2"/>
    <w:rsid w:val="00C4244A"/>
    <w:rsid w:val="00C4259E"/>
    <w:rsid w:val="00C42619"/>
    <w:rsid w:val="00C42B1A"/>
    <w:rsid w:val="00C42FA5"/>
    <w:rsid w:val="00C43422"/>
    <w:rsid w:val="00C4382A"/>
    <w:rsid w:val="00C449A7"/>
    <w:rsid w:val="00C44A3A"/>
    <w:rsid w:val="00C45127"/>
    <w:rsid w:val="00C451E8"/>
    <w:rsid w:val="00C45570"/>
    <w:rsid w:val="00C45B29"/>
    <w:rsid w:val="00C45D9F"/>
    <w:rsid w:val="00C45E46"/>
    <w:rsid w:val="00C45F2F"/>
    <w:rsid w:val="00C4612A"/>
    <w:rsid w:val="00C4646D"/>
    <w:rsid w:val="00C464D0"/>
    <w:rsid w:val="00C466DA"/>
    <w:rsid w:val="00C46A2C"/>
    <w:rsid w:val="00C46A75"/>
    <w:rsid w:val="00C46ACE"/>
    <w:rsid w:val="00C46C68"/>
    <w:rsid w:val="00C46CD3"/>
    <w:rsid w:val="00C46F48"/>
    <w:rsid w:val="00C472FD"/>
    <w:rsid w:val="00C4732F"/>
    <w:rsid w:val="00C473F4"/>
    <w:rsid w:val="00C47406"/>
    <w:rsid w:val="00C4746F"/>
    <w:rsid w:val="00C4755C"/>
    <w:rsid w:val="00C47967"/>
    <w:rsid w:val="00C47B16"/>
    <w:rsid w:val="00C47CAB"/>
    <w:rsid w:val="00C50403"/>
    <w:rsid w:val="00C5043C"/>
    <w:rsid w:val="00C5079A"/>
    <w:rsid w:val="00C50B70"/>
    <w:rsid w:val="00C510B8"/>
    <w:rsid w:val="00C51153"/>
    <w:rsid w:val="00C51272"/>
    <w:rsid w:val="00C513D8"/>
    <w:rsid w:val="00C516F1"/>
    <w:rsid w:val="00C5197F"/>
    <w:rsid w:val="00C51BB6"/>
    <w:rsid w:val="00C51DB8"/>
    <w:rsid w:val="00C51E20"/>
    <w:rsid w:val="00C51E66"/>
    <w:rsid w:val="00C52409"/>
    <w:rsid w:val="00C52501"/>
    <w:rsid w:val="00C528E9"/>
    <w:rsid w:val="00C52E5B"/>
    <w:rsid w:val="00C530DC"/>
    <w:rsid w:val="00C53612"/>
    <w:rsid w:val="00C53711"/>
    <w:rsid w:val="00C53738"/>
    <w:rsid w:val="00C537E0"/>
    <w:rsid w:val="00C5384C"/>
    <w:rsid w:val="00C53FE6"/>
    <w:rsid w:val="00C54056"/>
    <w:rsid w:val="00C54164"/>
    <w:rsid w:val="00C545B9"/>
    <w:rsid w:val="00C54BF8"/>
    <w:rsid w:val="00C54C03"/>
    <w:rsid w:val="00C54C79"/>
    <w:rsid w:val="00C54F3C"/>
    <w:rsid w:val="00C550F2"/>
    <w:rsid w:val="00C55342"/>
    <w:rsid w:val="00C5563B"/>
    <w:rsid w:val="00C55AFF"/>
    <w:rsid w:val="00C55F20"/>
    <w:rsid w:val="00C56233"/>
    <w:rsid w:val="00C56414"/>
    <w:rsid w:val="00C56704"/>
    <w:rsid w:val="00C56D46"/>
    <w:rsid w:val="00C573C5"/>
    <w:rsid w:val="00C576B9"/>
    <w:rsid w:val="00C576CE"/>
    <w:rsid w:val="00C578A8"/>
    <w:rsid w:val="00C57FD0"/>
    <w:rsid w:val="00C6034E"/>
    <w:rsid w:val="00C60780"/>
    <w:rsid w:val="00C60787"/>
    <w:rsid w:val="00C60BDC"/>
    <w:rsid w:val="00C61022"/>
    <w:rsid w:val="00C6128E"/>
    <w:rsid w:val="00C6134B"/>
    <w:rsid w:val="00C613B3"/>
    <w:rsid w:val="00C616E1"/>
    <w:rsid w:val="00C61B47"/>
    <w:rsid w:val="00C61B84"/>
    <w:rsid w:val="00C61BE3"/>
    <w:rsid w:val="00C61E98"/>
    <w:rsid w:val="00C61F4D"/>
    <w:rsid w:val="00C62003"/>
    <w:rsid w:val="00C6201E"/>
    <w:rsid w:val="00C623B6"/>
    <w:rsid w:val="00C62A25"/>
    <w:rsid w:val="00C62B77"/>
    <w:rsid w:val="00C62E06"/>
    <w:rsid w:val="00C63481"/>
    <w:rsid w:val="00C638C4"/>
    <w:rsid w:val="00C63B27"/>
    <w:rsid w:val="00C63C78"/>
    <w:rsid w:val="00C64046"/>
    <w:rsid w:val="00C6419E"/>
    <w:rsid w:val="00C6426B"/>
    <w:rsid w:val="00C6431E"/>
    <w:rsid w:val="00C645B7"/>
    <w:rsid w:val="00C645ED"/>
    <w:rsid w:val="00C649FA"/>
    <w:rsid w:val="00C64E07"/>
    <w:rsid w:val="00C6563C"/>
    <w:rsid w:val="00C65D9E"/>
    <w:rsid w:val="00C6644A"/>
    <w:rsid w:val="00C6681F"/>
    <w:rsid w:val="00C66839"/>
    <w:rsid w:val="00C6695A"/>
    <w:rsid w:val="00C66ACF"/>
    <w:rsid w:val="00C66C6F"/>
    <w:rsid w:val="00C66FB6"/>
    <w:rsid w:val="00C67056"/>
    <w:rsid w:val="00C6740B"/>
    <w:rsid w:val="00C67ED1"/>
    <w:rsid w:val="00C70079"/>
    <w:rsid w:val="00C7032C"/>
    <w:rsid w:val="00C70466"/>
    <w:rsid w:val="00C70CFF"/>
    <w:rsid w:val="00C70E25"/>
    <w:rsid w:val="00C7122D"/>
    <w:rsid w:val="00C713A0"/>
    <w:rsid w:val="00C717BB"/>
    <w:rsid w:val="00C71829"/>
    <w:rsid w:val="00C71957"/>
    <w:rsid w:val="00C719F4"/>
    <w:rsid w:val="00C71DBB"/>
    <w:rsid w:val="00C72563"/>
    <w:rsid w:val="00C72580"/>
    <w:rsid w:val="00C72D12"/>
    <w:rsid w:val="00C7303C"/>
    <w:rsid w:val="00C7326C"/>
    <w:rsid w:val="00C7347F"/>
    <w:rsid w:val="00C7357E"/>
    <w:rsid w:val="00C73A7F"/>
    <w:rsid w:val="00C73AD2"/>
    <w:rsid w:val="00C73ED8"/>
    <w:rsid w:val="00C740F1"/>
    <w:rsid w:val="00C7438B"/>
    <w:rsid w:val="00C74466"/>
    <w:rsid w:val="00C744D3"/>
    <w:rsid w:val="00C747D8"/>
    <w:rsid w:val="00C747E7"/>
    <w:rsid w:val="00C74823"/>
    <w:rsid w:val="00C749B8"/>
    <w:rsid w:val="00C74AA4"/>
    <w:rsid w:val="00C74FAE"/>
    <w:rsid w:val="00C7501F"/>
    <w:rsid w:val="00C7504B"/>
    <w:rsid w:val="00C75270"/>
    <w:rsid w:val="00C756B1"/>
    <w:rsid w:val="00C7573B"/>
    <w:rsid w:val="00C75841"/>
    <w:rsid w:val="00C758F2"/>
    <w:rsid w:val="00C758FD"/>
    <w:rsid w:val="00C759B2"/>
    <w:rsid w:val="00C75AD2"/>
    <w:rsid w:val="00C75C08"/>
    <w:rsid w:val="00C75E9B"/>
    <w:rsid w:val="00C75EFA"/>
    <w:rsid w:val="00C767F5"/>
    <w:rsid w:val="00C76E86"/>
    <w:rsid w:val="00C77025"/>
    <w:rsid w:val="00C772CD"/>
    <w:rsid w:val="00C77937"/>
    <w:rsid w:val="00C77976"/>
    <w:rsid w:val="00C7799E"/>
    <w:rsid w:val="00C77B09"/>
    <w:rsid w:val="00C77B64"/>
    <w:rsid w:val="00C77BAB"/>
    <w:rsid w:val="00C77BD6"/>
    <w:rsid w:val="00C77E27"/>
    <w:rsid w:val="00C77FED"/>
    <w:rsid w:val="00C8025C"/>
    <w:rsid w:val="00C8052A"/>
    <w:rsid w:val="00C80839"/>
    <w:rsid w:val="00C80C82"/>
    <w:rsid w:val="00C80F4B"/>
    <w:rsid w:val="00C812EC"/>
    <w:rsid w:val="00C812FC"/>
    <w:rsid w:val="00C8141E"/>
    <w:rsid w:val="00C81434"/>
    <w:rsid w:val="00C81836"/>
    <w:rsid w:val="00C81889"/>
    <w:rsid w:val="00C81CBE"/>
    <w:rsid w:val="00C81DCA"/>
    <w:rsid w:val="00C8254C"/>
    <w:rsid w:val="00C82838"/>
    <w:rsid w:val="00C82BF1"/>
    <w:rsid w:val="00C82C3F"/>
    <w:rsid w:val="00C82E34"/>
    <w:rsid w:val="00C83318"/>
    <w:rsid w:val="00C83388"/>
    <w:rsid w:val="00C83516"/>
    <w:rsid w:val="00C838F0"/>
    <w:rsid w:val="00C83C9C"/>
    <w:rsid w:val="00C83D8A"/>
    <w:rsid w:val="00C84055"/>
    <w:rsid w:val="00C843EC"/>
    <w:rsid w:val="00C84550"/>
    <w:rsid w:val="00C846A8"/>
    <w:rsid w:val="00C84756"/>
    <w:rsid w:val="00C84AB1"/>
    <w:rsid w:val="00C84B81"/>
    <w:rsid w:val="00C84BE4"/>
    <w:rsid w:val="00C84C97"/>
    <w:rsid w:val="00C85668"/>
    <w:rsid w:val="00C8577D"/>
    <w:rsid w:val="00C85FBC"/>
    <w:rsid w:val="00C86063"/>
    <w:rsid w:val="00C8612E"/>
    <w:rsid w:val="00C86177"/>
    <w:rsid w:val="00C86345"/>
    <w:rsid w:val="00C86E12"/>
    <w:rsid w:val="00C871BE"/>
    <w:rsid w:val="00C872EC"/>
    <w:rsid w:val="00C873AF"/>
    <w:rsid w:val="00C87BED"/>
    <w:rsid w:val="00C87C4D"/>
    <w:rsid w:val="00C87DD5"/>
    <w:rsid w:val="00C87EAB"/>
    <w:rsid w:val="00C900E1"/>
    <w:rsid w:val="00C9051C"/>
    <w:rsid w:val="00C90B7B"/>
    <w:rsid w:val="00C90BBF"/>
    <w:rsid w:val="00C92012"/>
    <w:rsid w:val="00C92140"/>
    <w:rsid w:val="00C92648"/>
    <w:rsid w:val="00C926AB"/>
    <w:rsid w:val="00C92830"/>
    <w:rsid w:val="00C92CEE"/>
    <w:rsid w:val="00C92E84"/>
    <w:rsid w:val="00C92F88"/>
    <w:rsid w:val="00C93299"/>
    <w:rsid w:val="00C93364"/>
    <w:rsid w:val="00C933D4"/>
    <w:rsid w:val="00C93631"/>
    <w:rsid w:val="00C93823"/>
    <w:rsid w:val="00C93826"/>
    <w:rsid w:val="00C93D19"/>
    <w:rsid w:val="00C93D39"/>
    <w:rsid w:val="00C93F98"/>
    <w:rsid w:val="00C93FE7"/>
    <w:rsid w:val="00C94236"/>
    <w:rsid w:val="00C944BB"/>
    <w:rsid w:val="00C946D3"/>
    <w:rsid w:val="00C949CB"/>
    <w:rsid w:val="00C94CDC"/>
    <w:rsid w:val="00C94D20"/>
    <w:rsid w:val="00C94D46"/>
    <w:rsid w:val="00C94EBE"/>
    <w:rsid w:val="00C953D4"/>
    <w:rsid w:val="00C953E6"/>
    <w:rsid w:val="00C9582C"/>
    <w:rsid w:val="00C96257"/>
    <w:rsid w:val="00C96262"/>
    <w:rsid w:val="00C963DC"/>
    <w:rsid w:val="00C96425"/>
    <w:rsid w:val="00C964E6"/>
    <w:rsid w:val="00C96538"/>
    <w:rsid w:val="00C96581"/>
    <w:rsid w:val="00C965DB"/>
    <w:rsid w:val="00C9687A"/>
    <w:rsid w:val="00C96982"/>
    <w:rsid w:val="00C9745C"/>
    <w:rsid w:val="00C97519"/>
    <w:rsid w:val="00C979CB"/>
    <w:rsid w:val="00C97A93"/>
    <w:rsid w:val="00C97BB5"/>
    <w:rsid w:val="00C97E15"/>
    <w:rsid w:val="00CA0132"/>
    <w:rsid w:val="00CA0185"/>
    <w:rsid w:val="00CA023C"/>
    <w:rsid w:val="00CA0D57"/>
    <w:rsid w:val="00CA1586"/>
    <w:rsid w:val="00CA16BF"/>
    <w:rsid w:val="00CA1743"/>
    <w:rsid w:val="00CA19D8"/>
    <w:rsid w:val="00CA1D2C"/>
    <w:rsid w:val="00CA200A"/>
    <w:rsid w:val="00CA20D4"/>
    <w:rsid w:val="00CA2591"/>
    <w:rsid w:val="00CA2A82"/>
    <w:rsid w:val="00CA2D8B"/>
    <w:rsid w:val="00CA2E2C"/>
    <w:rsid w:val="00CA32DB"/>
    <w:rsid w:val="00CA3976"/>
    <w:rsid w:val="00CA3A44"/>
    <w:rsid w:val="00CA3B97"/>
    <w:rsid w:val="00CA3D09"/>
    <w:rsid w:val="00CA4102"/>
    <w:rsid w:val="00CA4187"/>
    <w:rsid w:val="00CA4454"/>
    <w:rsid w:val="00CA4786"/>
    <w:rsid w:val="00CA493F"/>
    <w:rsid w:val="00CA4BB5"/>
    <w:rsid w:val="00CA53D1"/>
    <w:rsid w:val="00CA5767"/>
    <w:rsid w:val="00CA5CB5"/>
    <w:rsid w:val="00CA6173"/>
    <w:rsid w:val="00CA630B"/>
    <w:rsid w:val="00CA6993"/>
    <w:rsid w:val="00CA6AC0"/>
    <w:rsid w:val="00CA6D0D"/>
    <w:rsid w:val="00CA6D6F"/>
    <w:rsid w:val="00CB0219"/>
    <w:rsid w:val="00CB0539"/>
    <w:rsid w:val="00CB0601"/>
    <w:rsid w:val="00CB073D"/>
    <w:rsid w:val="00CB087E"/>
    <w:rsid w:val="00CB09D1"/>
    <w:rsid w:val="00CB0B4F"/>
    <w:rsid w:val="00CB0FBC"/>
    <w:rsid w:val="00CB1285"/>
    <w:rsid w:val="00CB1347"/>
    <w:rsid w:val="00CB1779"/>
    <w:rsid w:val="00CB1D18"/>
    <w:rsid w:val="00CB208D"/>
    <w:rsid w:val="00CB224E"/>
    <w:rsid w:val="00CB228A"/>
    <w:rsid w:val="00CB25D3"/>
    <w:rsid w:val="00CB2686"/>
    <w:rsid w:val="00CB2AA3"/>
    <w:rsid w:val="00CB2C92"/>
    <w:rsid w:val="00CB2CA5"/>
    <w:rsid w:val="00CB302D"/>
    <w:rsid w:val="00CB3185"/>
    <w:rsid w:val="00CB3332"/>
    <w:rsid w:val="00CB3798"/>
    <w:rsid w:val="00CB3DAA"/>
    <w:rsid w:val="00CB4773"/>
    <w:rsid w:val="00CB4847"/>
    <w:rsid w:val="00CB4D06"/>
    <w:rsid w:val="00CB4D29"/>
    <w:rsid w:val="00CB5065"/>
    <w:rsid w:val="00CB5158"/>
    <w:rsid w:val="00CB5585"/>
    <w:rsid w:val="00CB5693"/>
    <w:rsid w:val="00CB5775"/>
    <w:rsid w:val="00CB5BCB"/>
    <w:rsid w:val="00CB5CAB"/>
    <w:rsid w:val="00CB5E14"/>
    <w:rsid w:val="00CB6029"/>
    <w:rsid w:val="00CB60B6"/>
    <w:rsid w:val="00CB67D7"/>
    <w:rsid w:val="00CB6ACF"/>
    <w:rsid w:val="00CB6C23"/>
    <w:rsid w:val="00CB6D78"/>
    <w:rsid w:val="00CB7174"/>
    <w:rsid w:val="00CB731A"/>
    <w:rsid w:val="00CB7334"/>
    <w:rsid w:val="00CB78E4"/>
    <w:rsid w:val="00CC02EC"/>
    <w:rsid w:val="00CC038D"/>
    <w:rsid w:val="00CC039A"/>
    <w:rsid w:val="00CC054B"/>
    <w:rsid w:val="00CC0725"/>
    <w:rsid w:val="00CC0D99"/>
    <w:rsid w:val="00CC0E07"/>
    <w:rsid w:val="00CC0F1E"/>
    <w:rsid w:val="00CC0FEF"/>
    <w:rsid w:val="00CC12E9"/>
    <w:rsid w:val="00CC1765"/>
    <w:rsid w:val="00CC17B1"/>
    <w:rsid w:val="00CC1B65"/>
    <w:rsid w:val="00CC1CD2"/>
    <w:rsid w:val="00CC1EB4"/>
    <w:rsid w:val="00CC2100"/>
    <w:rsid w:val="00CC262A"/>
    <w:rsid w:val="00CC28F8"/>
    <w:rsid w:val="00CC2B66"/>
    <w:rsid w:val="00CC2C95"/>
    <w:rsid w:val="00CC2CB8"/>
    <w:rsid w:val="00CC2E26"/>
    <w:rsid w:val="00CC2EC1"/>
    <w:rsid w:val="00CC336E"/>
    <w:rsid w:val="00CC33DD"/>
    <w:rsid w:val="00CC36EB"/>
    <w:rsid w:val="00CC42A6"/>
    <w:rsid w:val="00CC4443"/>
    <w:rsid w:val="00CC4595"/>
    <w:rsid w:val="00CC5378"/>
    <w:rsid w:val="00CC5A65"/>
    <w:rsid w:val="00CC5BD9"/>
    <w:rsid w:val="00CC5CFC"/>
    <w:rsid w:val="00CC60AC"/>
    <w:rsid w:val="00CC65ED"/>
    <w:rsid w:val="00CC67D3"/>
    <w:rsid w:val="00CC6C5E"/>
    <w:rsid w:val="00CC7224"/>
    <w:rsid w:val="00CC7297"/>
    <w:rsid w:val="00CC7601"/>
    <w:rsid w:val="00CC79AA"/>
    <w:rsid w:val="00CC7DC0"/>
    <w:rsid w:val="00CC7DD5"/>
    <w:rsid w:val="00CC7E7E"/>
    <w:rsid w:val="00CC7EE6"/>
    <w:rsid w:val="00CD0061"/>
    <w:rsid w:val="00CD0151"/>
    <w:rsid w:val="00CD09DC"/>
    <w:rsid w:val="00CD0E5A"/>
    <w:rsid w:val="00CD1203"/>
    <w:rsid w:val="00CD184B"/>
    <w:rsid w:val="00CD1A87"/>
    <w:rsid w:val="00CD1B4D"/>
    <w:rsid w:val="00CD1CFB"/>
    <w:rsid w:val="00CD1E8F"/>
    <w:rsid w:val="00CD21A7"/>
    <w:rsid w:val="00CD2C63"/>
    <w:rsid w:val="00CD2FFE"/>
    <w:rsid w:val="00CD30A3"/>
    <w:rsid w:val="00CD32D2"/>
    <w:rsid w:val="00CD39FD"/>
    <w:rsid w:val="00CD3ACC"/>
    <w:rsid w:val="00CD3AF9"/>
    <w:rsid w:val="00CD3DF0"/>
    <w:rsid w:val="00CD41C9"/>
    <w:rsid w:val="00CD49AC"/>
    <w:rsid w:val="00CD4BE8"/>
    <w:rsid w:val="00CD4C99"/>
    <w:rsid w:val="00CD4D19"/>
    <w:rsid w:val="00CD540F"/>
    <w:rsid w:val="00CD5692"/>
    <w:rsid w:val="00CD5B2D"/>
    <w:rsid w:val="00CD60CE"/>
    <w:rsid w:val="00CD76ED"/>
    <w:rsid w:val="00CD789B"/>
    <w:rsid w:val="00CD7DC7"/>
    <w:rsid w:val="00CD7F96"/>
    <w:rsid w:val="00CE0123"/>
    <w:rsid w:val="00CE0ABF"/>
    <w:rsid w:val="00CE0CF7"/>
    <w:rsid w:val="00CE0E62"/>
    <w:rsid w:val="00CE0F33"/>
    <w:rsid w:val="00CE1156"/>
    <w:rsid w:val="00CE14E5"/>
    <w:rsid w:val="00CE1B35"/>
    <w:rsid w:val="00CE23FD"/>
    <w:rsid w:val="00CE2A3B"/>
    <w:rsid w:val="00CE322F"/>
    <w:rsid w:val="00CE3295"/>
    <w:rsid w:val="00CE329E"/>
    <w:rsid w:val="00CE33EC"/>
    <w:rsid w:val="00CE35EB"/>
    <w:rsid w:val="00CE3742"/>
    <w:rsid w:val="00CE37BC"/>
    <w:rsid w:val="00CE3836"/>
    <w:rsid w:val="00CE452E"/>
    <w:rsid w:val="00CE471C"/>
    <w:rsid w:val="00CE47EF"/>
    <w:rsid w:val="00CE4A1D"/>
    <w:rsid w:val="00CE4ACD"/>
    <w:rsid w:val="00CE4DA1"/>
    <w:rsid w:val="00CE526C"/>
    <w:rsid w:val="00CE52EC"/>
    <w:rsid w:val="00CE5515"/>
    <w:rsid w:val="00CE5598"/>
    <w:rsid w:val="00CE5822"/>
    <w:rsid w:val="00CE5BF4"/>
    <w:rsid w:val="00CE5E12"/>
    <w:rsid w:val="00CE5EC5"/>
    <w:rsid w:val="00CE63A0"/>
    <w:rsid w:val="00CE6731"/>
    <w:rsid w:val="00CE68F8"/>
    <w:rsid w:val="00CE6D64"/>
    <w:rsid w:val="00CE745E"/>
    <w:rsid w:val="00CE7522"/>
    <w:rsid w:val="00CE7906"/>
    <w:rsid w:val="00CE7D15"/>
    <w:rsid w:val="00CF02CF"/>
    <w:rsid w:val="00CF0DEB"/>
    <w:rsid w:val="00CF1120"/>
    <w:rsid w:val="00CF19C4"/>
    <w:rsid w:val="00CF1CE9"/>
    <w:rsid w:val="00CF1F34"/>
    <w:rsid w:val="00CF2054"/>
    <w:rsid w:val="00CF20D5"/>
    <w:rsid w:val="00CF230F"/>
    <w:rsid w:val="00CF251D"/>
    <w:rsid w:val="00CF2654"/>
    <w:rsid w:val="00CF2C74"/>
    <w:rsid w:val="00CF2DC1"/>
    <w:rsid w:val="00CF2E84"/>
    <w:rsid w:val="00CF2EA5"/>
    <w:rsid w:val="00CF31F1"/>
    <w:rsid w:val="00CF3461"/>
    <w:rsid w:val="00CF36BF"/>
    <w:rsid w:val="00CF3B9D"/>
    <w:rsid w:val="00CF4894"/>
    <w:rsid w:val="00CF49AA"/>
    <w:rsid w:val="00CF4AA8"/>
    <w:rsid w:val="00CF4D21"/>
    <w:rsid w:val="00CF4E32"/>
    <w:rsid w:val="00CF507A"/>
    <w:rsid w:val="00CF5271"/>
    <w:rsid w:val="00CF5582"/>
    <w:rsid w:val="00CF558F"/>
    <w:rsid w:val="00CF5863"/>
    <w:rsid w:val="00CF58D7"/>
    <w:rsid w:val="00CF59AF"/>
    <w:rsid w:val="00CF5AB5"/>
    <w:rsid w:val="00CF63DC"/>
    <w:rsid w:val="00CF6502"/>
    <w:rsid w:val="00CF74B9"/>
    <w:rsid w:val="00CF75F5"/>
    <w:rsid w:val="00CF7776"/>
    <w:rsid w:val="00CF787E"/>
    <w:rsid w:val="00CF78F1"/>
    <w:rsid w:val="00CF7A1D"/>
    <w:rsid w:val="00CF7CF8"/>
    <w:rsid w:val="00CF7D47"/>
    <w:rsid w:val="00D003D9"/>
    <w:rsid w:val="00D007FA"/>
    <w:rsid w:val="00D00829"/>
    <w:rsid w:val="00D00CA4"/>
    <w:rsid w:val="00D00F4A"/>
    <w:rsid w:val="00D0129B"/>
    <w:rsid w:val="00D01517"/>
    <w:rsid w:val="00D0162F"/>
    <w:rsid w:val="00D01ACF"/>
    <w:rsid w:val="00D02EE3"/>
    <w:rsid w:val="00D03479"/>
    <w:rsid w:val="00D035B6"/>
    <w:rsid w:val="00D036BE"/>
    <w:rsid w:val="00D03780"/>
    <w:rsid w:val="00D03A82"/>
    <w:rsid w:val="00D03AE0"/>
    <w:rsid w:val="00D03B4A"/>
    <w:rsid w:val="00D03C29"/>
    <w:rsid w:val="00D03DD2"/>
    <w:rsid w:val="00D043F2"/>
    <w:rsid w:val="00D049F9"/>
    <w:rsid w:val="00D04A5A"/>
    <w:rsid w:val="00D050D0"/>
    <w:rsid w:val="00D052A4"/>
    <w:rsid w:val="00D054C2"/>
    <w:rsid w:val="00D0562F"/>
    <w:rsid w:val="00D05732"/>
    <w:rsid w:val="00D057AD"/>
    <w:rsid w:val="00D05FE0"/>
    <w:rsid w:val="00D0622B"/>
    <w:rsid w:val="00D063FD"/>
    <w:rsid w:val="00D068D7"/>
    <w:rsid w:val="00D0745D"/>
    <w:rsid w:val="00D0769B"/>
    <w:rsid w:val="00D07758"/>
    <w:rsid w:val="00D07898"/>
    <w:rsid w:val="00D07AE7"/>
    <w:rsid w:val="00D07B16"/>
    <w:rsid w:val="00D07F34"/>
    <w:rsid w:val="00D1016C"/>
    <w:rsid w:val="00D1019B"/>
    <w:rsid w:val="00D10375"/>
    <w:rsid w:val="00D10438"/>
    <w:rsid w:val="00D10738"/>
    <w:rsid w:val="00D107A9"/>
    <w:rsid w:val="00D10E08"/>
    <w:rsid w:val="00D10E0F"/>
    <w:rsid w:val="00D112F8"/>
    <w:rsid w:val="00D1190D"/>
    <w:rsid w:val="00D11B46"/>
    <w:rsid w:val="00D12150"/>
    <w:rsid w:val="00D122F6"/>
    <w:rsid w:val="00D12327"/>
    <w:rsid w:val="00D123EA"/>
    <w:rsid w:val="00D123F9"/>
    <w:rsid w:val="00D126D8"/>
    <w:rsid w:val="00D12733"/>
    <w:rsid w:val="00D12A25"/>
    <w:rsid w:val="00D12A28"/>
    <w:rsid w:val="00D12BD0"/>
    <w:rsid w:val="00D12D85"/>
    <w:rsid w:val="00D136F7"/>
    <w:rsid w:val="00D13CF4"/>
    <w:rsid w:val="00D13D1A"/>
    <w:rsid w:val="00D14189"/>
    <w:rsid w:val="00D1453C"/>
    <w:rsid w:val="00D1458D"/>
    <w:rsid w:val="00D145EB"/>
    <w:rsid w:val="00D14DFF"/>
    <w:rsid w:val="00D14E45"/>
    <w:rsid w:val="00D154EB"/>
    <w:rsid w:val="00D1597C"/>
    <w:rsid w:val="00D15B59"/>
    <w:rsid w:val="00D162FF"/>
    <w:rsid w:val="00D166F0"/>
    <w:rsid w:val="00D1680A"/>
    <w:rsid w:val="00D1696F"/>
    <w:rsid w:val="00D16B88"/>
    <w:rsid w:val="00D171F2"/>
    <w:rsid w:val="00D177CD"/>
    <w:rsid w:val="00D17B73"/>
    <w:rsid w:val="00D17E2E"/>
    <w:rsid w:val="00D20014"/>
    <w:rsid w:val="00D20380"/>
    <w:rsid w:val="00D205B6"/>
    <w:rsid w:val="00D20833"/>
    <w:rsid w:val="00D2097C"/>
    <w:rsid w:val="00D20AA7"/>
    <w:rsid w:val="00D20C63"/>
    <w:rsid w:val="00D21080"/>
    <w:rsid w:val="00D21363"/>
    <w:rsid w:val="00D21E5D"/>
    <w:rsid w:val="00D220FE"/>
    <w:rsid w:val="00D227A5"/>
    <w:rsid w:val="00D22CB4"/>
    <w:rsid w:val="00D22E3C"/>
    <w:rsid w:val="00D22F6F"/>
    <w:rsid w:val="00D2306F"/>
    <w:rsid w:val="00D233D9"/>
    <w:rsid w:val="00D233E0"/>
    <w:rsid w:val="00D23DF7"/>
    <w:rsid w:val="00D23F9C"/>
    <w:rsid w:val="00D2419C"/>
    <w:rsid w:val="00D248BA"/>
    <w:rsid w:val="00D24963"/>
    <w:rsid w:val="00D25180"/>
    <w:rsid w:val="00D2531D"/>
    <w:rsid w:val="00D25366"/>
    <w:rsid w:val="00D253CC"/>
    <w:rsid w:val="00D25493"/>
    <w:rsid w:val="00D2549E"/>
    <w:rsid w:val="00D2563A"/>
    <w:rsid w:val="00D25B57"/>
    <w:rsid w:val="00D25BA5"/>
    <w:rsid w:val="00D25EC9"/>
    <w:rsid w:val="00D25F17"/>
    <w:rsid w:val="00D2668E"/>
    <w:rsid w:val="00D267A1"/>
    <w:rsid w:val="00D267A2"/>
    <w:rsid w:val="00D26C78"/>
    <w:rsid w:val="00D271EE"/>
    <w:rsid w:val="00D27264"/>
    <w:rsid w:val="00D27954"/>
    <w:rsid w:val="00D27ED5"/>
    <w:rsid w:val="00D30854"/>
    <w:rsid w:val="00D30971"/>
    <w:rsid w:val="00D309BC"/>
    <w:rsid w:val="00D30BCD"/>
    <w:rsid w:val="00D30C5C"/>
    <w:rsid w:val="00D30D90"/>
    <w:rsid w:val="00D30E30"/>
    <w:rsid w:val="00D314E2"/>
    <w:rsid w:val="00D314E6"/>
    <w:rsid w:val="00D31833"/>
    <w:rsid w:val="00D3209E"/>
    <w:rsid w:val="00D32165"/>
    <w:rsid w:val="00D325EC"/>
    <w:rsid w:val="00D32948"/>
    <w:rsid w:val="00D32C97"/>
    <w:rsid w:val="00D33229"/>
    <w:rsid w:val="00D3354D"/>
    <w:rsid w:val="00D3381D"/>
    <w:rsid w:val="00D33B0C"/>
    <w:rsid w:val="00D33C50"/>
    <w:rsid w:val="00D33CEB"/>
    <w:rsid w:val="00D33E45"/>
    <w:rsid w:val="00D34099"/>
    <w:rsid w:val="00D347BC"/>
    <w:rsid w:val="00D3490F"/>
    <w:rsid w:val="00D34CD1"/>
    <w:rsid w:val="00D353FC"/>
    <w:rsid w:val="00D3563B"/>
    <w:rsid w:val="00D35703"/>
    <w:rsid w:val="00D35E20"/>
    <w:rsid w:val="00D367BB"/>
    <w:rsid w:val="00D36A03"/>
    <w:rsid w:val="00D36AAF"/>
    <w:rsid w:val="00D36B8A"/>
    <w:rsid w:val="00D36CD8"/>
    <w:rsid w:val="00D36E45"/>
    <w:rsid w:val="00D36E48"/>
    <w:rsid w:val="00D3712C"/>
    <w:rsid w:val="00D3766B"/>
    <w:rsid w:val="00D37A3E"/>
    <w:rsid w:val="00D37F96"/>
    <w:rsid w:val="00D4025D"/>
    <w:rsid w:val="00D402F1"/>
    <w:rsid w:val="00D40B62"/>
    <w:rsid w:val="00D40B7A"/>
    <w:rsid w:val="00D40C13"/>
    <w:rsid w:val="00D40D73"/>
    <w:rsid w:val="00D4138C"/>
    <w:rsid w:val="00D4195A"/>
    <w:rsid w:val="00D41BF1"/>
    <w:rsid w:val="00D41C65"/>
    <w:rsid w:val="00D42533"/>
    <w:rsid w:val="00D42636"/>
    <w:rsid w:val="00D426C1"/>
    <w:rsid w:val="00D42F36"/>
    <w:rsid w:val="00D4327B"/>
    <w:rsid w:val="00D43A65"/>
    <w:rsid w:val="00D43A7D"/>
    <w:rsid w:val="00D43A80"/>
    <w:rsid w:val="00D43DC7"/>
    <w:rsid w:val="00D43EA8"/>
    <w:rsid w:val="00D43F64"/>
    <w:rsid w:val="00D44336"/>
    <w:rsid w:val="00D44F3F"/>
    <w:rsid w:val="00D45712"/>
    <w:rsid w:val="00D45854"/>
    <w:rsid w:val="00D45CA1"/>
    <w:rsid w:val="00D45CD8"/>
    <w:rsid w:val="00D4616C"/>
    <w:rsid w:val="00D46439"/>
    <w:rsid w:val="00D464B2"/>
    <w:rsid w:val="00D4673D"/>
    <w:rsid w:val="00D46B20"/>
    <w:rsid w:val="00D46EFB"/>
    <w:rsid w:val="00D4712A"/>
    <w:rsid w:val="00D47291"/>
    <w:rsid w:val="00D47572"/>
    <w:rsid w:val="00D47770"/>
    <w:rsid w:val="00D477EE"/>
    <w:rsid w:val="00D47F48"/>
    <w:rsid w:val="00D500F9"/>
    <w:rsid w:val="00D503C4"/>
    <w:rsid w:val="00D503C8"/>
    <w:rsid w:val="00D50496"/>
    <w:rsid w:val="00D506CC"/>
    <w:rsid w:val="00D508CA"/>
    <w:rsid w:val="00D514AB"/>
    <w:rsid w:val="00D5162B"/>
    <w:rsid w:val="00D51B15"/>
    <w:rsid w:val="00D51CEF"/>
    <w:rsid w:val="00D51D2F"/>
    <w:rsid w:val="00D51DBE"/>
    <w:rsid w:val="00D5210B"/>
    <w:rsid w:val="00D5214E"/>
    <w:rsid w:val="00D52629"/>
    <w:rsid w:val="00D528DC"/>
    <w:rsid w:val="00D528FA"/>
    <w:rsid w:val="00D52BA4"/>
    <w:rsid w:val="00D52D11"/>
    <w:rsid w:val="00D52FB6"/>
    <w:rsid w:val="00D53A32"/>
    <w:rsid w:val="00D53F5B"/>
    <w:rsid w:val="00D5403E"/>
    <w:rsid w:val="00D5451C"/>
    <w:rsid w:val="00D548B8"/>
    <w:rsid w:val="00D54AC6"/>
    <w:rsid w:val="00D54B70"/>
    <w:rsid w:val="00D54CA1"/>
    <w:rsid w:val="00D54FC9"/>
    <w:rsid w:val="00D55024"/>
    <w:rsid w:val="00D5504C"/>
    <w:rsid w:val="00D55379"/>
    <w:rsid w:val="00D55B15"/>
    <w:rsid w:val="00D55B8E"/>
    <w:rsid w:val="00D55CD8"/>
    <w:rsid w:val="00D55DEE"/>
    <w:rsid w:val="00D561AF"/>
    <w:rsid w:val="00D56236"/>
    <w:rsid w:val="00D56276"/>
    <w:rsid w:val="00D566BC"/>
    <w:rsid w:val="00D56FBD"/>
    <w:rsid w:val="00D57075"/>
    <w:rsid w:val="00D572B7"/>
    <w:rsid w:val="00D57654"/>
    <w:rsid w:val="00D577C2"/>
    <w:rsid w:val="00D578EA"/>
    <w:rsid w:val="00D57B27"/>
    <w:rsid w:val="00D57B7E"/>
    <w:rsid w:val="00D57E50"/>
    <w:rsid w:val="00D60180"/>
    <w:rsid w:val="00D6035F"/>
    <w:rsid w:val="00D6037A"/>
    <w:rsid w:val="00D6045C"/>
    <w:rsid w:val="00D60692"/>
    <w:rsid w:val="00D606FE"/>
    <w:rsid w:val="00D60C94"/>
    <w:rsid w:val="00D60EDD"/>
    <w:rsid w:val="00D610D6"/>
    <w:rsid w:val="00D610F7"/>
    <w:rsid w:val="00D61296"/>
    <w:rsid w:val="00D61339"/>
    <w:rsid w:val="00D61618"/>
    <w:rsid w:val="00D619D4"/>
    <w:rsid w:val="00D61B5E"/>
    <w:rsid w:val="00D61C21"/>
    <w:rsid w:val="00D62496"/>
    <w:rsid w:val="00D625CC"/>
    <w:rsid w:val="00D6295A"/>
    <w:rsid w:val="00D62CFB"/>
    <w:rsid w:val="00D62F0D"/>
    <w:rsid w:val="00D63254"/>
    <w:rsid w:val="00D63406"/>
    <w:rsid w:val="00D63524"/>
    <w:rsid w:val="00D6437D"/>
    <w:rsid w:val="00D643A7"/>
    <w:rsid w:val="00D655EF"/>
    <w:rsid w:val="00D65A05"/>
    <w:rsid w:val="00D65D09"/>
    <w:rsid w:val="00D65E98"/>
    <w:rsid w:val="00D65EA3"/>
    <w:rsid w:val="00D660A5"/>
    <w:rsid w:val="00D66966"/>
    <w:rsid w:val="00D66B0C"/>
    <w:rsid w:val="00D66F02"/>
    <w:rsid w:val="00D675E5"/>
    <w:rsid w:val="00D67626"/>
    <w:rsid w:val="00D67719"/>
    <w:rsid w:val="00D67985"/>
    <w:rsid w:val="00D67C6C"/>
    <w:rsid w:val="00D67FB8"/>
    <w:rsid w:val="00D706DD"/>
    <w:rsid w:val="00D709B9"/>
    <w:rsid w:val="00D70BE5"/>
    <w:rsid w:val="00D710EE"/>
    <w:rsid w:val="00D711BC"/>
    <w:rsid w:val="00D713D1"/>
    <w:rsid w:val="00D719A8"/>
    <w:rsid w:val="00D719F3"/>
    <w:rsid w:val="00D71C43"/>
    <w:rsid w:val="00D71CB3"/>
    <w:rsid w:val="00D72013"/>
    <w:rsid w:val="00D721C8"/>
    <w:rsid w:val="00D721D9"/>
    <w:rsid w:val="00D7223D"/>
    <w:rsid w:val="00D727C9"/>
    <w:rsid w:val="00D7291B"/>
    <w:rsid w:val="00D72A2C"/>
    <w:rsid w:val="00D73168"/>
    <w:rsid w:val="00D732B8"/>
    <w:rsid w:val="00D7365A"/>
    <w:rsid w:val="00D736C9"/>
    <w:rsid w:val="00D738AB"/>
    <w:rsid w:val="00D7395B"/>
    <w:rsid w:val="00D73E5C"/>
    <w:rsid w:val="00D741E0"/>
    <w:rsid w:val="00D74223"/>
    <w:rsid w:val="00D74843"/>
    <w:rsid w:val="00D74BE2"/>
    <w:rsid w:val="00D74C08"/>
    <w:rsid w:val="00D7530A"/>
    <w:rsid w:val="00D75665"/>
    <w:rsid w:val="00D7592D"/>
    <w:rsid w:val="00D75A2E"/>
    <w:rsid w:val="00D75A52"/>
    <w:rsid w:val="00D75A73"/>
    <w:rsid w:val="00D75B7D"/>
    <w:rsid w:val="00D75E64"/>
    <w:rsid w:val="00D761AD"/>
    <w:rsid w:val="00D76236"/>
    <w:rsid w:val="00D76277"/>
    <w:rsid w:val="00D764AC"/>
    <w:rsid w:val="00D76B4E"/>
    <w:rsid w:val="00D76EA0"/>
    <w:rsid w:val="00D76EDB"/>
    <w:rsid w:val="00D77288"/>
    <w:rsid w:val="00D77792"/>
    <w:rsid w:val="00D77855"/>
    <w:rsid w:val="00D778D6"/>
    <w:rsid w:val="00D7790B"/>
    <w:rsid w:val="00D800F5"/>
    <w:rsid w:val="00D803A6"/>
    <w:rsid w:val="00D80CCE"/>
    <w:rsid w:val="00D80DDF"/>
    <w:rsid w:val="00D80DFD"/>
    <w:rsid w:val="00D80F4C"/>
    <w:rsid w:val="00D81384"/>
    <w:rsid w:val="00D813D8"/>
    <w:rsid w:val="00D8143A"/>
    <w:rsid w:val="00D81583"/>
    <w:rsid w:val="00D81D22"/>
    <w:rsid w:val="00D81FFB"/>
    <w:rsid w:val="00D820FD"/>
    <w:rsid w:val="00D82160"/>
    <w:rsid w:val="00D82199"/>
    <w:rsid w:val="00D82393"/>
    <w:rsid w:val="00D82475"/>
    <w:rsid w:val="00D829BF"/>
    <w:rsid w:val="00D82AC5"/>
    <w:rsid w:val="00D82D91"/>
    <w:rsid w:val="00D82E30"/>
    <w:rsid w:val="00D82EBC"/>
    <w:rsid w:val="00D83169"/>
    <w:rsid w:val="00D83269"/>
    <w:rsid w:val="00D83877"/>
    <w:rsid w:val="00D83ADD"/>
    <w:rsid w:val="00D83D9D"/>
    <w:rsid w:val="00D83EA5"/>
    <w:rsid w:val="00D84350"/>
    <w:rsid w:val="00D844C3"/>
    <w:rsid w:val="00D84EBF"/>
    <w:rsid w:val="00D85036"/>
    <w:rsid w:val="00D853A5"/>
    <w:rsid w:val="00D8544E"/>
    <w:rsid w:val="00D8560F"/>
    <w:rsid w:val="00D859DA"/>
    <w:rsid w:val="00D85A5E"/>
    <w:rsid w:val="00D85D41"/>
    <w:rsid w:val="00D85EDB"/>
    <w:rsid w:val="00D8601F"/>
    <w:rsid w:val="00D86077"/>
    <w:rsid w:val="00D860C4"/>
    <w:rsid w:val="00D862C8"/>
    <w:rsid w:val="00D8643C"/>
    <w:rsid w:val="00D867D9"/>
    <w:rsid w:val="00D86CCC"/>
    <w:rsid w:val="00D86E0E"/>
    <w:rsid w:val="00D86F9F"/>
    <w:rsid w:val="00D87258"/>
    <w:rsid w:val="00D87498"/>
    <w:rsid w:val="00D874D4"/>
    <w:rsid w:val="00D876C4"/>
    <w:rsid w:val="00D879E3"/>
    <w:rsid w:val="00D903A7"/>
    <w:rsid w:val="00D90410"/>
    <w:rsid w:val="00D905F2"/>
    <w:rsid w:val="00D90D42"/>
    <w:rsid w:val="00D90DD7"/>
    <w:rsid w:val="00D9131C"/>
    <w:rsid w:val="00D91455"/>
    <w:rsid w:val="00D91681"/>
    <w:rsid w:val="00D9178E"/>
    <w:rsid w:val="00D919C8"/>
    <w:rsid w:val="00D91DAD"/>
    <w:rsid w:val="00D920C9"/>
    <w:rsid w:val="00D9243E"/>
    <w:rsid w:val="00D924B7"/>
    <w:rsid w:val="00D92548"/>
    <w:rsid w:val="00D92B05"/>
    <w:rsid w:val="00D92BC6"/>
    <w:rsid w:val="00D92CA9"/>
    <w:rsid w:val="00D92E5E"/>
    <w:rsid w:val="00D930D8"/>
    <w:rsid w:val="00D931DF"/>
    <w:rsid w:val="00D9326A"/>
    <w:rsid w:val="00D933A2"/>
    <w:rsid w:val="00D933FB"/>
    <w:rsid w:val="00D935F0"/>
    <w:rsid w:val="00D93736"/>
    <w:rsid w:val="00D93786"/>
    <w:rsid w:val="00D9379C"/>
    <w:rsid w:val="00D938C1"/>
    <w:rsid w:val="00D93A10"/>
    <w:rsid w:val="00D93A9F"/>
    <w:rsid w:val="00D93D25"/>
    <w:rsid w:val="00D9460D"/>
    <w:rsid w:val="00D94685"/>
    <w:rsid w:val="00D9474E"/>
    <w:rsid w:val="00D94A05"/>
    <w:rsid w:val="00D94CD9"/>
    <w:rsid w:val="00D9511D"/>
    <w:rsid w:val="00D9534B"/>
    <w:rsid w:val="00D955DC"/>
    <w:rsid w:val="00D958E1"/>
    <w:rsid w:val="00D95CB2"/>
    <w:rsid w:val="00D95E71"/>
    <w:rsid w:val="00D9602B"/>
    <w:rsid w:val="00D964F9"/>
    <w:rsid w:val="00D96896"/>
    <w:rsid w:val="00D968BD"/>
    <w:rsid w:val="00D9696F"/>
    <w:rsid w:val="00D96C9A"/>
    <w:rsid w:val="00D970B7"/>
    <w:rsid w:val="00D972A4"/>
    <w:rsid w:val="00D9750F"/>
    <w:rsid w:val="00D976C2"/>
    <w:rsid w:val="00D97A45"/>
    <w:rsid w:val="00D97ACD"/>
    <w:rsid w:val="00D97E3D"/>
    <w:rsid w:val="00DA026B"/>
    <w:rsid w:val="00DA0618"/>
    <w:rsid w:val="00DA06F0"/>
    <w:rsid w:val="00DA08BA"/>
    <w:rsid w:val="00DA0A2E"/>
    <w:rsid w:val="00DA0B31"/>
    <w:rsid w:val="00DA0DA2"/>
    <w:rsid w:val="00DA124D"/>
    <w:rsid w:val="00DA151F"/>
    <w:rsid w:val="00DA16FA"/>
    <w:rsid w:val="00DA179C"/>
    <w:rsid w:val="00DA19F3"/>
    <w:rsid w:val="00DA1A5A"/>
    <w:rsid w:val="00DA1DDD"/>
    <w:rsid w:val="00DA1E6B"/>
    <w:rsid w:val="00DA22E9"/>
    <w:rsid w:val="00DA2829"/>
    <w:rsid w:val="00DA28E3"/>
    <w:rsid w:val="00DA2EC5"/>
    <w:rsid w:val="00DA2F64"/>
    <w:rsid w:val="00DA3078"/>
    <w:rsid w:val="00DA30C0"/>
    <w:rsid w:val="00DA35BD"/>
    <w:rsid w:val="00DA383B"/>
    <w:rsid w:val="00DA3AB8"/>
    <w:rsid w:val="00DA3CBF"/>
    <w:rsid w:val="00DA3F57"/>
    <w:rsid w:val="00DA4547"/>
    <w:rsid w:val="00DA4617"/>
    <w:rsid w:val="00DA48FD"/>
    <w:rsid w:val="00DA4953"/>
    <w:rsid w:val="00DA49F5"/>
    <w:rsid w:val="00DA4F70"/>
    <w:rsid w:val="00DA50B3"/>
    <w:rsid w:val="00DA558C"/>
    <w:rsid w:val="00DA55CF"/>
    <w:rsid w:val="00DA5B74"/>
    <w:rsid w:val="00DA5BD3"/>
    <w:rsid w:val="00DA5BE8"/>
    <w:rsid w:val="00DA5CDC"/>
    <w:rsid w:val="00DA5E18"/>
    <w:rsid w:val="00DA629B"/>
    <w:rsid w:val="00DA6A03"/>
    <w:rsid w:val="00DA6DEE"/>
    <w:rsid w:val="00DA6E61"/>
    <w:rsid w:val="00DA702B"/>
    <w:rsid w:val="00DA75D3"/>
    <w:rsid w:val="00DA7851"/>
    <w:rsid w:val="00DA7B28"/>
    <w:rsid w:val="00DA7FD4"/>
    <w:rsid w:val="00DB00D4"/>
    <w:rsid w:val="00DB01CB"/>
    <w:rsid w:val="00DB02CD"/>
    <w:rsid w:val="00DB0701"/>
    <w:rsid w:val="00DB0831"/>
    <w:rsid w:val="00DB0886"/>
    <w:rsid w:val="00DB0898"/>
    <w:rsid w:val="00DB0947"/>
    <w:rsid w:val="00DB0AC5"/>
    <w:rsid w:val="00DB0B15"/>
    <w:rsid w:val="00DB0EE8"/>
    <w:rsid w:val="00DB0F76"/>
    <w:rsid w:val="00DB0FB4"/>
    <w:rsid w:val="00DB1332"/>
    <w:rsid w:val="00DB1603"/>
    <w:rsid w:val="00DB19FF"/>
    <w:rsid w:val="00DB1D0A"/>
    <w:rsid w:val="00DB1E44"/>
    <w:rsid w:val="00DB224F"/>
    <w:rsid w:val="00DB247E"/>
    <w:rsid w:val="00DB249E"/>
    <w:rsid w:val="00DB2574"/>
    <w:rsid w:val="00DB2A4B"/>
    <w:rsid w:val="00DB2C41"/>
    <w:rsid w:val="00DB391F"/>
    <w:rsid w:val="00DB3A0A"/>
    <w:rsid w:val="00DB3EB3"/>
    <w:rsid w:val="00DB4625"/>
    <w:rsid w:val="00DB4733"/>
    <w:rsid w:val="00DB49AE"/>
    <w:rsid w:val="00DB49CD"/>
    <w:rsid w:val="00DB4C3F"/>
    <w:rsid w:val="00DB4C5E"/>
    <w:rsid w:val="00DB5C3E"/>
    <w:rsid w:val="00DB5CF6"/>
    <w:rsid w:val="00DB5E60"/>
    <w:rsid w:val="00DB6297"/>
    <w:rsid w:val="00DB662A"/>
    <w:rsid w:val="00DB68E3"/>
    <w:rsid w:val="00DB6ADC"/>
    <w:rsid w:val="00DB6E6C"/>
    <w:rsid w:val="00DB6FBB"/>
    <w:rsid w:val="00DB784C"/>
    <w:rsid w:val="00DB7A4C"/>
    <w:rsid w:val="00DB7AE4"/>
    <w:rsid w:val="00DB7D32"/>
    <w:rsid w:val="00DB7EF7"/>
    <w:rsid w:val="00DC01CF"/>
    <w:rsid w:val="00DC072C"/>
    <w:rsid w:val="00DC090E"/>
    <w:rsid w:val="00DC0AA6"/>
    <w:rsid w:val="00DC0AF4"/>
    <w:rsid w:val="00DC0D17"/>
    <w:rsid w:val="00DC0DA8"/>
    <w:rsid w:val="00DC1A39"/>
    <w:rsid w:val="00DC1E3C"/>
    <w:rsid w:val="00DC1E8D"/>
    <w:rsid w:val="00DC201D"/>
    <w:rsid w:val="00DC249F"/>
    <w:rsid w:val="00DC26E0"/>
    <w:rsid w:val="00DC2741"/>
    <w:rsid w:val="00DC29E3"/>
    <w:rsid w:val="00DC2A54"/>
    <w:rsid w:val="00DC2D24"/>
    <w:rsid w:val="00DC30A4"/>
    <w:rsid w:val="00DC3297"/>
    <w:rsid w:val="00DC3300"/>
    <w:rsid w:val="00DC37AD"/>
    <w:rsid w:val="00DC398F"/>
    <w:rsid w:val="00DC3B4F"/>
    <w:rsid w:val="00DC3E46"/>
    <w:rsid w:val="00DC3ECA"/>
    <w:rsid w:val="00DC41CC"/>
    <w:rsid w:val="00DC41D1"/>
    <w:rsid w:val="00DC41D7"/>
    <w:rsid w:val="00DC4541"/>
    <w:rsid w:val="00DC4646"/>
    <w:rsid w:val="00DC4656"/>
    <w:rsid w:val="00DC482A"/>
    <w:rsid w:val="00DC4DA6"/>
    <w:rsid w:val="00DC53B7"/>
    <w:rsid w:val="00DC546F"/>
    <w:rsid w:val="00DC56D5"/>
    <w:rsid w:val="00DC58C1"/>
    <w:rsid w:val="00DC58E2"/>
    <w:rsid w:val="00DC5BAA"/>
    <w:rsid w:val="00DC5C94"/>
    <w:rsid w:val="00DC5E92"/>
    <w:rsid w:val="00DC5FA4"/>
    <w:rsid w:val="00DC625D"/>
    <w:rsid w:val="00DC64E3"/>
    <w:rsid w:val="00DC64F4"/>
    <w:rsid w:val="00DC65B1"/>
    <w:rsid w:val="00DC664F"/>
    <w:rsid w:val="00DC672A"/>
    <w:rsid w:val="00DC68A2"/>
    <w:rsid w:val="00DC6F07"/>
    <w:rsid w:val="00DC7042"/>
    <w:rsid w:val="00DC7179"/>
    <w:rsid w:val="00DC72E6"/>
    <w:rsid w:val="00DC74B6"/>
    <w:rsid w:val="00DC755F"/>
    <w:rsid w:val="00DC7D3B"/>
    <w:rsid w:val="00DC7DDD"/>
    <w:rsid w:val="00DC7F4C"/>
    <w:rsid w:val="00DD01C3"/>
    <w:rsid w:val="00DD020D"/>
    <w:rsid w:val="00DD0292"/>
    <w:rsid w:val="00DD0303"/>
    <w:rsid w:val="00DD0636"/>
    <w:rsid w:val="00DD087F"/>
    <w:rsid w:val="00DD0900"/>
    <w:rsid w:val="00DD0ABF"/>
    <w:rsid w:val="00DD0FD6"/>
    <w:rsid w:val="00DD16C4"/>
    <w:rsid w:val="00DD193E"/>
    <w:rsid w:val="00DD1BF8"/>
    <w:rsid w:val="00DD1E1C"/>
    <w:rsid w:val="00DD22DF"/>
    <w:rsid w:val="00DD23FA"/>
    <w:rsid w:val="00DD242F"/>
    <w:rsid w:val="00DD252D"/>
    <w:rsid w:val="00DD2601"/>
    <w:rsid w:val="00DD29C2"/>
    <w:rsid w:val="00DD29ED"/>
    <w:rsid w:val="00DD2F8E"/>
    <w:rsid w:val="00DD334A"/>
    <w:rsid w:val="00DD36C0"/>
    <w:rsid w:val="00DD380C"/>
    <w:rsid w:val="00DD3873"/>
    <w:rsid w:val="00DD38C0"/>
    <w:rsid w:val="00DD3A9A"/>
    <w:rsid w:val="00DD3B2A"/>
    <w:rsid w:val="00DD3B8E"/>
    <w:rsid w:val="00DD3DBC"/>
    <w:rsid w:val="00DD4051"/>
    <w:rsid w:val="00DD4235"/>
    <w:rsid w:val="00DD4309"/>
    <w:rsid w:val="00DD4FAC"/>
    <w:rsid w:val="00DD5130"/>
    <w:rsid w:val="00DD51A8"/>
    <w:rsid w:val="00DD532C"/>
    <w:rsid w:val="00DD5344"/>
    <w:rsid w:val="00DD540D"/>
    <w:rsid w:val="00DD54E4"/>
    <w:rsid w:val="00DD5637"/>
    <w:rsid w:val="00DD5B1C"/>
    <w:rsid w:val="00DD5B90"/>
    <w:rsid w:val="00DD5BC8"/>
    <w:rsid w:val="00DD5F66"/>
    <w:rsid w:val="00DD61D7"/>
    <w:rsid w:val="00DD62AB"/>
    <w:rsid w:val="00DD6336"/>
    <w:rsid w:val="00DD726D"/>
    <w:rsid w:val="00DD7432"/>
    <w:rsid w:val="00DD77F3"/>
    <w:rsid w:val="00DE008A"/>
    <w:rsid w:val="00DE0B89"/>
    <w:rsid w:val="00DE0D5C"/>
    <w:rsid w:val="00DE1307"/>
    <w:rsid w:val="00DE1545"/>
    <w:rsid w:val="00DE1596"/>
    <w:rsid w:val="00DE1710"/>
    <w:rsid w:val="00DE1B16"/>
    <w:rsid w:val="00DE1C97"/>
    <w:rsid w:val="00DE1F6E"/>
    <w:rsid w:val="00DE261C"/>
    <w:rsid w:val="00DE2645"/>
    <w:rsid w:val="00DE2763"/>
    <w:rsid w:val="00DE2840"/>
    <w:rsid w:val="00DE3B72"/>
    <w:rsid w:val="00DE3CA2"/>
    <w:rsid w:val="00DE4016"/>
    <w:rsid w:val="00DE4684"/>
    <w:rsid w:val="00DE46B2"/>
    <w:rsid w:val="00DE477A"/>
    <w:rsid w:val="00DE481B"/>
    <w:rsid w:val="00DE4820"/>
    <w:rsid w:val="00DE48F2"/>
    <w:rsid w:val="00DE4976"/>
    <w:rsid w:val="00DE4C44"/>
    <w:rsid w:val="00DE4EB9"/>
    <w:rsid w:val="00DE54C2"/>
    <w:rsid w:val="00DE5906"/>
    <w:rsid w:val="00DE5EA5"/>
    <w:rsid w:val="00DE614B"/>
    <w:rsid w:val="00DE63E3"/>
    <w:rsid w:val="00DE68C6"/>
    <w:rsid w:val="00DE6E29"/>
    <w:rsid w:val="00DE6F28"/>
    <w:rsid w:val="00DE71AE"/>
    <w:rsid w:val="00DE765B"/>
    <w:rsid w:val="00DE76A2"/>
    <w:rsid w:val="00DE7733"/>
    <w:rsid w:val="00DE7874"/>
    <w:rsid w:val="00DF0897"/>
    <w:rsid w:val="00DF0A61"/>
    <w:rsid w:val="00DF0B7A"/>
    <w:rsid w:val="00DF0C4E"/>
    <w:rsid w:val="00DF0F2A"/>
    <w:rsid w:val="00DF129F"/>
    <w:rsid w:val="00DF132E"/>
    <w:rsid w:val="00DF1481"/>
    <w:rsid w:val="00DF14B8"/>
    <w:rsid w:val="00DF155E"/>
    <w:rsid w:val="00DF1C4C"/>
    <w:rsid w:val="00DF2215"/>
    <w:rsid w:val="00DF22C8"/>
    <w:rsid w:val="00DF235A"/>
    <w:rsid w:val="00DF2684"/>
    <w:rsid w:val="00DF29DE"/>
    <w:rsid w:val="00DF2B3E"/>
    <w:rsid w:val="00DF2B8A"/>
    <w:rsid w:val="00DF2C6D"/>
    <w:rsid w:val="00DF3C2B"/>
    <w:rsid w:val="00DF3C66"/>
    <w:rsid w:val="00DF44FB"/>
    <w:rsid w:val="00DF4816"/>
    <w:rsid w:val="00DF4826"/>
    <w:rsid w:val="00DF4A9A"/>
    <w:rsid w:val="00DF4B08"/>
    <w:rsid w:val="00DF51B9"/>
    <w:rsid w:val="00DF59F3"/>
    <w:rsid w:val="00DF5D47"/>
    <w:rsid w:val="00DF5DDC"/>
    <w:rsid w:val="00DF60F9"/>
    <w:rsid w:val="00DF6198"/>
    <w:rsid w:val="00DF6248"/>
    <w:rsid w:val="00DF63B1"/>
    <w:rsid w:val="00DF6473"/>
    <w:rsid w:val="00DF65E3"/>
    <w:rsid w:val="00DF673A"/>
    <w:rsid w:val="00DF686D"/>
    <w:rsid w:val="00DF697C"/>
    <w:rsid w:val="00DF6BDD"/>
    <w:rsid w:val="00DF6FC6"/>
    <w:rsid w:val="00DF701B"/>
    <w:rsid w:val="00DF704D"/>
    <w:rsid w:val="00DF7096"/>
    <w:rsid w:val="00DF78F2"/>
    <w:rsid w:val="00DF7CC6"/>
    <w:rsid w:val="00DF7F6A"/>
    <w:rsid w:val="00DF7F7D"/>
    <w:rsid w:val="00E00392"/>
    <w:rsid w:val="00E0041A"/>
    <w:rsid w:val="00E0043E"/>
    <w:rsid w:val="00E0068A"/>
    <w:rsid w:val="00E006AB"/>
    <w:rsid w:val="00E00CFC"/>
    <w:rsid w:val="00E00D14"/>
    <w:rsid w:val="00E0103B"/>
    <w:rsid w:val="00E01197"/>
    <w:rsid w:val="00E01214"/>
    <w:rsid w:val="00E01490"/>
    <w:rsid w:val="00E01FA5"/>
    <w:rsid w:val="00E02004"/>
    <w:rsid w:val="00E0247B"/>
    <w:rsid w:val="00E02529"/>
    <w:rsid w:val="00E026D2"/>
    <w:rsid w:val="00E0272E"/>
    <w:rsid w:val="00E03140"/>
    <w:rsid w:val="00E0321B"/>
    <w:rsid w:val="00E0326A"/>
    <w:rsid w:val="00E038F4"/>
    <w:rsid w:val="00E03A2F"/>
    <w:rsid w:val="00E04070"/>
    <w:rsid w:val="00E0421D"/>
    <w:rsid w:val="00E046D7"/>
    <w:rsid w:val="00E046E2"/>
    <w:rsid w:val="00E04985"/>
    <w:rsid w:val="00E05302"/>
    <w:rsid w:val="00E05363"/>
    <w:rsid w:val="00E059F7"/>
    <w:rsid w:val="00E05A96"/>
    <w:rsid w:val="00E05B64"/>
    <w:rsid w:val="00E06262"/>
    <w:rsid w:val="00E0683E"/>
    <w:rsid w:val="00E06908"/>
    <w:rsid w:val="00E06981"/>
    <w:rsid w:val="00E06AE2"/>
    <w:rsid w:val="00E06EAD"/>
    <w:rsid w:val="00E06FA8"/>
    <w:rsid w:val="00E071C7"/>
    <w:rsid w:val="00E07303"/>
    <w:rsid w:val="00E074A0"/>
    <w:rsid w:val="00E074BC"/>
    <w:rsid w:val="00E077ED"/>
    <w:rsid w:val="00E100AD"/>
    <w:rsid w:val="00E10399"/>
    <w:rsid w:val="00E104CC"/>
    <w:rsid w:val="00E10ACB"/>
    <w:rsid w:val="00E10D45"/>
    <w:rsid w:val="00E10F68"/>
    <w:rsid w:val="00E10F70"/>
    <w:rsid w:val="00E1101B"/>
    <w:rsid w:val="00E113E3"/>
    <w:rsid w:val="00E119D9"/>
    <w:rsid w:val="00E11CE8"/>
    <w:rsid w:val="00E11E78"/>
    <w:rsid w:val="00E122A5"/>
    <w:rsid w:val="00E1236F"/>
    <w:rsid w:val="00E12442"/>
    <w:rsid w:val="00E125BC"/>
    <w:rsid w:val="00E12624"/>
    <w:rsid w:val="00E12744"/>
    <w:rsid w:val="00E12A9C"/>
    <w:rsid w:val="00E12DF0"/>
    <w:rsid w:val="00E12EBD"/>
    <w:rsid w:val="00E13020"/>
    <w:rsid w:val="00E131E0"/>
    <w:rsid w:val="00E13501"/>
    <w:rsid w:val="00E13602"/>
    <w:rsid w:val="00E13F1E"/>
    <w:rsid w:val="00E14024"/>
    <w:rsid w:val="00E14123"/>
    <w:rsid w:val="00E144C7"/>
    <w:rsid w:val="00E145E6"/>
    <w:rsid w:val="00E14749"/>
    <w:rsid w:val="00E149B5"/>
    <w:rsid w:val="00E149E2"/>
    <w:rsid w:val="00E14FD0"/>
    <w:rsid w:val="00E15045"/>
    <w:rsid w:val="00E157F7"/>
    <w:rsid w:val="00E15A9F"/>
    <w:rsid w:val="00E15B01"/>
    <w:rsid w:val="00E15FDA"/>
    <w:rsid w:val="00E16065"/>
    <w:rsid w:val="00E16494"/>
    <w:rsid w:val="00E166F7"/>
    <w:rsid w:val="00E168EC"/>
    <w:rsid w:val="00E16F9A"/>
    <w:rsid w:val="00E16FCF"/>
    <w:rsid w:val="00E17110"/>
    <w:rsid w:val="00E17264"/>
    <w:rsid w:val="00E17288"/>
    <w:rsid w:val="00E172BC"/>
    <w:rsid w:val="00E17564"/>
    <w:rsid w:val="00E17579"/>
    <w:rsid w:val="00E175D7"/>
    <w:rsid w:val="00E179DD"/>
    <w:rsid w:val="00E17E23"/>
    <w:rsid w:val="00E201C7"/>
    <w:rsid w:val="00E2027E"/>
    <w:rsid w:val="00E2043A"/>
    <w:rsid w:val="00E20A7C"/>
    <w:rsid w:val="00E20B8F"/>
    <w:rsid w:val="00E20CAD"/>
    <w:rsid w:val="00E20FEF"/>
    <w:rsid w:val="00E21286"/>
    <w:rsid w:val="00E213B9"/>
    <w:rsid w:val="00E21558"/>
    <w:rsid w:val="00E21A94"/>
    <w:rsid w:val="00E21C88"/>
    <w:rsid w:val="00E21CA3"/>
    <w:rsid w:val="00E21D8E"/>
    <w:rsid w:val="00E21E99"/>
    <w:rsid w:val="00E2228A"/>
    <w:rsid w:val="00E22844"/>
    <w:rsid w:val="00E2284C"/>
    <w:rsid w:val="00E2292B"/>
    <w:rsid w:val="00E22B5C"/>
    <w:rsid w:val="00E22D7D"/>
    <w:rsid w:val="00E22E9B"/>
    <w:rsid w:val="00E230C7"/>
    <w:rsid w:val="00E23268"/>
    <w:rsid w:val="00E2348D"/>
    <w:rsid w:val="00E234CA"/>
    <w:rsid w:val="00E23742"/>
    <w:rsid w:val="00E237C3"/>
    <w:rsid w:val="00E24150"/>
    <w:rsid w:val="00E244BA"/>
    <w:rsid w:val="00E244EA"/>
    <w:rsid w:val="00E24669"/>
    <w:rsid w:val="00E246CB"/>
    <w:rsid w:val="00E24739"/>
    <w:rsid w:val="00E2475D"/>
    <w:rsid w:val="00E248C8"/>
    <w:rsid w:val="00E24966"/>
    <w:rsid w:val="00E24C77"/>
    <w:rsid w:val="00E24D81"/>
    <w:rsid w:val="00E253C4"/>
    <w:rsid w:val="00E25822"/>
    <w:rsid w:val="00E25A40"/>
    <w:rsid w:val="00E25DA3"/>
    <w:rsid w:val="00E2654D"/>
    <w:rsid w:val="00E26632"/>
    <w:rsid w:val="00E26BBD"/>
    <w:rsid w:val="00E26D21"/>
    <w:rsid w:val="00E26DD1"/>
    <w:rsid w:val="00E26E24"/>
    <w:rsid w:val="00E275FF"/>
    <w:rsid w:val="00E2761C"/>
    <w:rsid w:val="00E27BA9"/>
    <w:rsid w:val="00E30361"/>
    <w:rsid w:val="00E303DE"/>
    <w:rsid w:val="00E31911"/>
    <w:rsid w:val="00E31B2F"/>
    <w:rsid w:val="00E320DF"/>
    <w:rsid w:val="00E323C2"/>
    <w:rsid w:val="00E32AB0"/>
    <w:rsid w:val="00E32E29"/>
    <w:rsid w:val="00E33025"/>
    <w:rsid w:val="00E333B3"/>
    <w:rsid w:val="00E33B84"/>
    <w:rsid w:val="00E33C55"/>
    <w:rsid w:val="00E33DC2"/>
    <w:rsid w:val="00E345A5"/>
    <w:rsid w:val="00E345D7"/>
    <w:rsid w:val="00E345DB"/>
    <w:rsid w:val="00E34680"/>
    <w:rsid w:val="00E3488B"/>
    <w:rsid w:val="00E34922"/>
    <w:rsid w:val="00E34A52"/>
    <w:rsid w:val="00E34BF4"/>
    <w:rsid w:val="00E34C69"/>
    <w:rsid w:val="00E34E63"/>
    <w:rsid w:val="00E355AD"/>
    <w:rsid w:val="00E35927"/>
    <w:rsid w:val="00E35B1E"/>
    <w:rsid w:val="00E35FB8"/>
    <w:rsid w:val="00E35FE6"/>
    <w:rsid w:val="00E360BD"/>
    <w:rsid w:val="00E36CB6"/>
    <w:rsid w:val="00E36D57"/>
    <w:rsid w:val="00E36DD0"/>
    <w:rsid w:val="00E36F55"/>
    <w:rsid w:val="00E37176"/>
    <w:rsid w:val="00E374CD"/>
    <w:rsid w:val="00E37A4D"/>
    <w:rsid w:val="00E37B24"/>
    <w:rsid w:val="00E37C82"/>
    <w:rsid w:val="00E40294"/>
    <w:rsid w:val="00E403CD"/>
    <w:rsid w:val="00E406A0"/>
    <w:rsid w:val="00E406C2"/>
    <w:rsid w:val="00E40A29"/>
    <w:rsid w:val="00E40C19"/>
    <w:rsid w:val="00E41015"/>
    <w:rsid w:val="00E413DA"/>
    <w:rsid w:val="00E4193F"/>
    <w:rsid w:val="00E41D4E"/>
    <w:rsid w:val="00E425F3"/>
    <w:rsid w:val="00E42981"/>
    <w:rsid w:val="00E431C5"/>
    <w:rsid w:val="00E432E0"/>
    <w:rsid w:val="00E43387"/>
    <w:rsid w:val="00E434D7"/>
    <w:rsid w:val="00E43672"/>
    <w:rsid w:val="00E43957"/>
    <w:rsid w:val="00E43AA7"/>
    <w:rsid w:val="00E43B5D"/>
    <w:rsid w:val="00E440AA"/>
    <w:rsid w:val="00E44255"/>
    <w:rsid w:val="00E442CB"/>
    <w:rsid w:val="00E4461D"/>
    <w:rsid w:val="00E4481C"/>
    <w:rsid w:val="00E44C68"/>
    <w:rsid w:val="00E44C9D"/>
    <w:rsid w:val="00E44D6E"/>
    <w:rsid w:val="00E45724"/>
    <w:rsid w:val="00E45883"/>
    <w:rsid w:val="00E45AFF"/>
    <w:rsid w:val="00E45CFD"/>
    <w:rsid w:val="00E46696"/>
    <w:rsid w:val="00E46A5B"/>
    <w:rsid w:val="00E46BDB"/>
    <w:rsid w:val="00E46CAC"/>
    <w:rsid w:val="00E4715C"/>
    <w:rsid w:val="00E47A23"/>
    <w:rsid w:val="00E5004F"/>
    <w:rsid w:val="00E50137"/>
    <w:rsid w:val="00E502A0"/>
    <w:rsid w:val="00E503D2"/>
    <w:rsid w:val="00E50572"/>
    <w:rsid w:val="00E506DF"/>
    <w:rsid w:val="00E50B1B"/>
    <w:rsid w:val="00E51112"/>
    <w:rsid w:val="00E511E1"/>
    <w:rsid w:val="00E5125C"/>
    <w:rsid w:val="00E516CB"/>
    <w:rsid w:val="00E51C0A"/>
    <w:rsid w:val="00E521A2"/>
    <w:rsid w:val="00E52493"/>
    <w:rsid w:val="00E52699"/>
    <w:rsid w:val="00E526D9"/>
    <w:rsid w:val="00E527BA"/>
    <w:rsid w:val="00E53157"/>
    <w:rsid w:val="00E53750"/>
    <w:rsid w:val="00E537A3"/>
    <w:rsid w:val="00E53945"/>
    <w:rsid w:val="00E53BD0"/>
    <w:rsid w:val="00E544CF"/>
    <w:rsid w:val="00E54527"/>
    <w:rsid w:val="00E546B4"/>
    <w:rsid w:val="00E5497C"/>
    <w:rsid w:val="00E54E10"/>
    <w:rsid w:val="00E5507E"/>
    <w:rsid w:val="00E55153"/>
    <w:rsid w:val="00E551F7"/>
    <w:rsid w:val="00E55221"/>
    <w:rsid w:val="00E5565C"/>
    <w:rsid w:val="00E5572F"/>
    <w:rsid w:val="00E55DDB"/>
    <w:rsid w:val="00E55F94"/>
    <w:rsid w:val="00E5650B"/>
    <w:rsid w:val="00E566C2"/>
    <w:rsid w:val="00E56B90"/>
    <w:rsid w:val="00E56E5E"/>
    <w:rsid w:val="00E56FA2"/>
    <w:rsid w:val="00E570CF"/>
    <w:rsid w:val="00E573D0"/>
    <w:rsid w:val="00E5745D"/>
    <w:rsid w:val="00E575A7"/>
    <w:rsid w:val="00E57609"/>
    <w:rsid w:val="00E57875"/>
    <w:rsid w:val="00E57CBA"/>
    <w:rsid w:val="00E6001C"/>
    <w:rsid w:val="00E60153"/>
    <w:rsid w:val="00E6032D"/>
    <w:rsid w:val="00E603AE"/>
    <w:rsid w:val="00E6051B"/>
    <w:rsid w:val="00E6054E"/>
    <w:rsid w:val="00E606B3"/>
    <w:rsid w:val="00E607FB"/>
    <w:rsid w:val="00E60AC8"/>
    <w:rsid w:val="00E60CB3"/>
    <w:rsid w:val="00E60DB6"/>
    <w:rsid w:val="00E611A7"/>
    <w:rsid w:val="00E61816"/>
    <w:rsid w:val="00E6189A"/>
    <w:rsid w:val="00E61A95"/>
    <w:rsid w:val="00E61F85"/>
    <w:rsid w:val="00E62296"/>
    <w:rsid w:val="00E62660"/>
    <w:rsid w:val="00E62748"/>
    <w:rsid w:val="00E62753"/>
    <w:rsid w:val="00E628AF"/>
    <w:rsid w:val="00E62B8E"/>
    <w:rsid w:val="00E62EBE"/>
    <w:rsid w:val="00E63265"/>
    <w:rsid w:val="00E63338"/>
    <w:rsid w:val="00E633E7"/>
    <w:rsid w:val="00E635A6"/>
    <w:rsid w:val="00E635F8"/>
    <w:rsid w:val="00E637A7"/>
    <w:rsid w:val="00E637D5"/>
    <w:rsid w:val="00E6397F"/>
    <w:rsid w:val="00E63A96"/>
    <w:rsid w:val="00E63BBE"/>
    <w:rsid w:val="00E64406"/>
    <w:rsid w:val="00E64E29"/>
    <w:rsid w:val="00E65402"/>
    <w:rsid w:val="00E65482"/>
    <w:rsid w:val="00E65C32"/>
    <w:rsid w:val="00E65F06"/>
    <w:rsid w:val="00E65FB5"/>
    <w:rsid w:val="00E660E5"/>
    <w:rsid w:val="00E66215"/>
    <w:rsid w:val="00E6624A"/>
    <w:rsid w:val="00E663A8"/>
    <w:rsid w:val="00E663C6"/>
    <w:rsid w:val="00E665DF"/>
    <w:rsid w:val="00E665E4"/>
    <w:rsid w:val="00E666C1"/>
    <w:rsid w:val="00E66A33"/>
    <w:rsid w:val="00E66CB3"/>
    <w:rsid w:val="00E67377"/>
    <w:rsid w:val="00E676B5"/>
    <w:rsid w:val="00E6774A"/>
    <w:rsid w:val="00E677E1"/>
    <w:rsid w:val="00E67989"/>
    <w:rsid w:val="00E67A20"/>
    <w:rsid w:val="00E67CBF"/>
    <w:rsid w:val="00E70450"/>
    <w:rsid w:val="00E70460"/>
    <w:rsid w:val="00E70B9A"/>
    <w:rsid w:val="00E70C3E"/>
    <w:rsid w:val="00E719DA"/>
    <w:rsid w:val="00E71B7E"/>
    <w:rsid w:val="00E71BBE"/>
    <w:rsid w:val="00E72097"/>
    <w:rsid w:val="00E724B9"/>
    <w:rsid w:val="00E724C0"/>
    <w:rsid w:val="00E724CD"/>
    <w:rsid w:val="00E72C26"/>
    <w:rsid w:val="00E72F19"/>
    <w:rsid w:val="00E7306A"/>
    <w:rsid w:val="00E7311F"/>
    <w:rsid w:val="00E73722"/>
    <w:rsid w:val="00E73E05"/>
    <w:rsid w:val="00E740A6"/>
    <w:rsid w:val="00E7457D"/>
    <w:rsid w:val="00E74B0E"/>
    <w:rsid w:val="00E74CEA"/>
    <w:rsid w:val="00E758C3"/>
    <w:rsid w:val="00E75D65"/>
    <w:rsid w:val="00E75FB8"/>
    <w:rsid w:val="00E763DE"/>
    <w:rsid w:val="00E76909"/>
    <w:rsid w:val="00E769FD"/>
    <w:rsid w:val="00E76CD1"/>
    <w:rsid w:val="00E773CA"/>
    <w:rsid w:val="00E774B7"/>
    <w:rsid w:val="00E776EB"/>
    <w:rsid w:val="00E77B92"/>
    <w:rsid w:val="00E77D0D"/>
    <w:rsid w:val="00E80589"/>
    <w:rsid w:val="00E80C8E"/>
    <w:rsid w:val="00E80D39"/>
    <w:rsid w:val="00E81141"/>
    <w:rsid w:val="00E815E3"/>
    <w:rsid w:val="00E822F6"/>
    <w:rsid w:val="00E8256B"/>
    <w:rsid w:val="00E82622"/>
    <w:rsid w:val="00E82669"/>
    <w:rsid w:val="00E82793"/>
    <w:rsid w:val="00E82A5D"/>
    <w:rsid w:val="00E82D9F"/>
    <w:rsid w:val="00E83012"/>
    <w:rsid w:val="00E832ED"/>
    <w:rsid w:val="00E8343F"/>
    <w:rsid w:val="00E83625"/>
    <w:rsid w:val="00E838E2"/>
    <w:rsid w:val="00E8413B"/>
    <w:rsid w:val="00E84595"/>
    <w:rsid w:val="00E84A75"/>
    <w:rsid w:val="00E84E58"/>
    <w:rsid w:val="00E84EC9"/>
    <w:rsid w:val="00E8542B"/>
    <w:rsid w:val="00E856F7"/>
    <w:rsid w:val="00E85AF4"/>
    <w:rsid w:val="00E85CD3"/>
    <w:rsid w:val="00E85DEC"/>
    <w:rsid w:val="00E86010"/>
    <w:rsid w:val="00E86C78"/>
    <w:rsid w:val="00E86D45"/>
    <w:rsid w:val="00E874A9"/>
    <w:rsid w:val="00E87BE7"/>
    <w:rsid w:val="00E87C7C"/>
    <w:rsid w:val="00E90356"/>
    <w:rsid w:val="00E903E1"/>
    <w:rsid w:val="00E90D14"/>
    <w:rsid w:val="00E90D49"/>
    <w:rsid w:val="00E91113"/>
    <w:rsid w:val="00E911D3"/>
    <w:rsid w:val="00E916FD"/>
    <w:rsid w:val="00E91BA7"/>
    <w:rsid w:val="00E91E39"/>
    <w:rsid w:val="00E91E5C"/>
    <w:rsid w:val="00E91ED8"/>
    <w:rsid w:val="00E9269F"/>
    <w:rsid w:val="00E92B61"/>
    <w:rsid w:val="00E93092"/>
    <w:rsid w:val="00E9313E"/>
    <w:rsid w:val="00E93179"/>
    <w:rsid w:val="00E938B3"/>
    <w:rsid w:val="00E93AC3"/>
    <w:rsid w:val="00E93CF9"/>
    <w:rsid w:val="00E93F60"/>
    <w:rsid w:val="00E940B1"/>
    <w:rsid w:val="00E943BB"/>
    <w:rsid w:val="00E94490"/>
    <w:rsid w:val="00E948DE"/>
    <w:rsid w:val="00E94D0C"/>
    <w:rsid w:val="00E95099"/>
    <w:rsid w:val="00E95988"/>
    <w:rsid w:val="00E95AAD"/>
    <w:rsid w:val="00E95B28"/>
    <w:rsid w:val="00E95C49"/>
    <w:rsid w:val="00E960B0"/>
    <w:rsid w:val="00E960C2"/>
    <w:rsid w:val="00E965D0"/>
    <w:rsid w:val="00E96B1A"/>
    <w:rsid w:val="00E96C39"/>
    <w:rsid w:val="00E97189"/>
    <w:rsid w:val="00E972D9"/>
    <w:rsid w:val="00EA024A"/>
    <w:rsid w:val="00EA06D9"/>
    <w:rsid w:val="00EA0B3F"/>
    <w:rsid w:val="00EA0B50"/>
    <w:rsid w:val="00EA0CB3"/>
    <w:rsid w:val="00EA0D52"/>
    <w:rsid w:val="00EA1286"/>
    <w:rsid w:val="00EA12C3"/>
    <w:rsid w:val="00EA14CC"/>
    <w:rsid w:val="00EA1F96"/>
    <w:rsid w:val="00EA1FFF"/>
    <w:rsid w:val="00EA21DD"/>
    <w:rsid w:val="00EA234A"/>
    <w:rsid w:val="00EA2388"/>
    <w:rsid w:val="00EA23A7"/>
    <w:rsid w:val="00EA23C0"/>
    <w:rsid w:val="00EA24D0"/>
    <w:rsid w:val="00EA255D"/>
    <w:rsid w:val="00EA2610"/>
    <w:rsid w:val="00EA26CC"/>
    <w:rsid w:val="00EA27B9"/>
    <w:rsid w:val="00EA2AC2"/>
    <w:rsid w:val="00EA2C54"/>
    <w:rsid w:val="00EA2E77"/>
    <w:rsid w:val="00EA2FCE"/>
    <w:rsid w:val="00EA3122"/>
    <w:rsid w:val="00EA32BA"/>
    <w:rsid w:val="00EA331C"/>
    <w:rsid w:val="00EA36DE"/>
    <w:rsid w:val="00EA38E9"/>
    <w:rsid w:val="00EA3B1D"/>
    <w:rsid w:val="00EA3DC3"/>
    <w:rsid w:val="00EA3E16"/>
    <w:rsid w:val="00EA3F08"/>
    <w:rsid w:val="00EA421A"/>
    <w:rsid w:val="00EA46D4"/>
    <w:rsid w:val="00EA48D5"/>
    <w:rsid w:val="00EA4C6B"/>
    <w:rsid w:val="00EA518B"/>
    <w:rsid w:val="00EA551F"/>
    <w:rsid w:val="00EA56D8"/>
    <w:rsid w:val="00EA57D2"/>
    <w:rsid w:val="00EA5F41"/>
    <w:rsid w:val="00EA63B7"/>
    <w:rsid w:val="00EA64FD"/>
    <w:rsid w:val="00EA67F6"/>
    <w:rsid w:val="00EA68C1"/>
    <w:rsid w:val="00EA6BD4"/>
    <w:rsid w:val="00EA6BE0"/>
    <w:rsid w:val="00EA74BA"/>
    <w:rsid w:val="00EA7B45"/>
    <w:rsid w:val="00EA7C55"/>
    <w:rsid w:val="00EA7C87"/>
    <w:rsid w:val="00EB0281"/>
    <w:rsid w:val="00EB02B7"/>
    <w:rsid w:val="00EB038A"/>
    <w:rsid w:val="00EB0C56"/>
    <w:rsid w:val="00EB0CF6"/>
    <w:rsid w:val="00EB1159"/>
    <w:rsid w:val="00EB12E8"/>
    <w:rsid w:val="00EB1BD7"/>
    <w:rsid w:val="00EB1D8C"/>
    <w:rsid w:val="00EB21C8"/>
    <w:rsid w:val="00EB2436"/>
    <w:rsid w:val="00EB284D"/>
    <w:rsid w:val="00EB2B0E"/>
    <w:rsid w:val="00EB302D"/>
    <w:rsid w:val="00EB34AC"/>
    <w:rsid w:val="00EB38A0"/>
    <w:rsid w:val="00EB394C"/>
    <w:rsid w:val="00EB3C5F"/>
    <w:rsid w:val="00EB42BE"/>
    <w:rsid w:val="00EB42D7"/>
    <w:rsid w:val="00EB4454"/>
    <w:rsid w:val="00EB4699"/>
    <w:rsid w:val="00EB46EC"/>
    <w:rsid w:val="00EB4746"/>
    <w:rsid w:val="00EB4E63"/>
    <w:rsid w:val="00EB4F89"/>
    <w:rsid w:val="00EB5069"/>
    <w:rsid w:val="00EB54EF"/>
    <w:rsid w:val="00EB5506"/>
    <w:rsid w:val="00EB575C"/>
    <w:rsid w:val="00EB5F5E"/>
    <w:rsid w:val="00EB6427"/>
    <w:rsid w:val="00EB65C0"/>
    <w:rsid w:val="00EB6993"/>
    <w:rsid w:val="00EB6C6E"/>
    <w:rsid w:val="00EB6C77"/>
    <w:rsid w:val="00EB6F5B"/>
    <w:rsid w:val="00EB724F"/>
    <w:rsid w:val="00EB78A2"/>
    <w:rsid w:val="00EC01B2"/>
    <w:rsid w:val="00EC03D4"/>
    <w:rsid w:val="00EC049C"/>
    <w:rsid w:val="00EC07A6"/>
    <w:rsid w:val="00EC0CEA"/>
    <w:rsid w:val="00EC0E1F"/>
    <w:rsid w:val="00EC0FEC"/>
    <w:rsid w:val="00EC1B52"/>
    <w:rsid w:val="00EC1CF3"/>
    <w:rsid w:val="00EC1D17"/>
    <w:rsid w:val="00EC1D9A"/>
    <w:rsid w:val="00EC2162"/>
    <w:rsid w:val="00EC2766"/>
    <w:rsid w:val="00EC2A76"/>
    <w:rsid w:val="00EC2C2F"/>
    <w:rsid w:val="00EC2E14"/>
    <w:rsid w:val="00EC2F08"/>
    <w:rsid w:val="00EC30D5"/>
    <w:rsid w:val="00EC31E4"/>
    <w:rsid w:val="00EC33CF"/>
    <w:rsid w:val="00EC395B"/>
    <w:rsid w:val="00EC3C77"/>
    <w:rsid w:val="00EC4080"/>
    <w:rsid w:val="00EC43E3"/>
    <w:rsid w:val="00EC43F6"/>
    <w:rsid w:val="00EC44EC"/>
    <w:rsid w:val="00EC5663"/>
    <w:rsid w:val="00EC57AB"/>
    <w:rsid w:val="00EC5B58"/>
    <w:rsid w:val="00EC61D9"/>
    <w:rsid w:val="00EC63F5"/>
    <w:rsid w:val="00EC6525"/>
    <w:rsid w:val="00EC681C"/>
    <w:rsid w:val="00EC6900"/>
    <w:rsid w:val="00EC6941"/>
    <w:rsid w:val="00EC6B97"/>
    <w:rsid w:val="00EC6CD7"/>
    <w:rsid w:val="00EC71C5"/>
    <w:rsid w:val="00EC728C"/>
    <w:rsid w:val="00EC76B5"/>
    <w:rsid w:val="00EC78BE"/>
    <w:rsid w:val="00EC7A3A"/>
    <w:rsid w:val="00EC7D4E"/>
    <w:rsid w:val="00ED0047"/>
    <w:rsid w:val="00ED01DA"/>
    <w:rsid w:val="00ED026D"/>
    <w:rsid w:val="00ED04CD"/>
    <w:rsid w:val="00ED0BF5"/>
    <w:rsid w:val="00ED103F"/>
    <w:rsid w:val="00ED10DD"/>
    <w:rsid w:val="00ED121B"/>
    <w:rsid w:val="00ED138B"/>
    <w:rsid w:val="00ED1777"/>
    <w:rsid w:val="00ED1806"/>
    <w:rsid w:val="00ED1F8D"/>
    <w:rsid w:val="00ED2516"/>
    <w:rsid w:val="00ED2527"/>
    <w:rsid w:val="00ED271A"/>
    <w:rsid w:val="00ED2D11"/>
    <w:rsid w:val="00ED30FA"/>
    <w:rsid w:val="00ED35C1"/>
    <w:rsid w:val="00ED368E"/>
    <w:rsid w:val="00ED3B32"/>
    <w:rsid w:val="00ED3B9B"/>
    <w:rsid w:val="00ED3E5B"/>
    <w:rsid w:val="00ED4069"/>
    <w:rsid w:val="00ED419D"/>
    <w:rsid w:val="00ED43FB"/>
    <w:rsid w:val="00ED4D07"/>
    <w:rsid w:val="00ED5630"/>
    <w:rsid w:val="00ED5878"/>
    <w:rsid w:val="00ED5982"/>
    <w:rsid w:val="00ED5B72"/>
    <w:rsid w:val="00ED5D9C"/>
    <w:rsid w:val="00ED6239"/>
    <w:rsid w:val="00ED6289"/>
    <w:rsid w:val="00ED6832"/>
    <w:rsid w:val="00ED6CE4"/>
    <w:rsid w:val="00ED6E9D"/>
    <w:rsid w:val="00ED704D"/>
    <w:rsid w:val="00ED70FA"/>
    <w:rsid w:val="00ED7D48"/>
    <w:rsid w:val="00ED7F42"/>
    <w:rsid w:val="00EE0BF4"/>
    <w:rsid w:val="00EE0DE0"/>
    <w:rsid w:val="00EE0FC2"/>
    <w:rsid w:val="00EE1016"/>
    <w:rsid w:val="00EE12AA"/>
    <w:rsid w:val="00EE16C6"/>
    <w:rsid w:val="00EE1AEF"/>
    <w:rsid w:val="00EE1DA0"/>
    <w:rsid w:val="00EE1E32"/>
    <w:rsid w:val="00EE1F13"/>
    <w:rsid w:val="00EE23CD"/>
    <w:rsid w:val="00EE2720"/>
    <w:rsid w:val="00EE2782"/>
    <w:rsid w:val="00EE29EF"/>
    <w:rsid w:val="00EE2D4B"/>
    <w:rsid w:val="00EE2D7A"/>
    <w:rsid w:val="00EE2EC5"/>
    <w:rsid w:val="00EE2EDA"/>
    <w:rsid w:val="00EE3233"/>
    <w:rsid w:val="00EE3424"/>
    <w:rsid w:val="00EE3493"/>
    <w:rsid w:val="00EE34C9"/>
    <w:rsid w:val="00EE37AD"/>
    <w:rsid w:val="00EE3818"/>
    <w:rsid w:val="00EE3E74"/>
    <w:rsid w:val="00EE45D1"/>
    <w:rsid w:val="00EE464F"/>
    <w:rsid w:val="00EE4E8C"/>
    <w:rsid w:val="00EE4EE1"/>
    <w:rsid w:val="00EE5332"/>
    <w:rsid w:val="00EE5417"/>
    <w:rsid w:val="00EE59E5"/>
    <w:rsid w:val="00EE610F"/>
    <w:rsid w:val="00EE6621"/>
    <w:rsid w:val="00EE6785"/>
    <w:rsid w:val="00EE6B28"/>
    <w:rsid w:val="00EE6D02"/>
    <w:rsid w:val="00EE6DB6"/>
    <w:rsid w:val="00EE6EBE"/>
    <w:rsid w:val="00EE6FCF"/>
    <w:rsid w:val="00EE7026"/>
    <w:rsid w:val="00EE7502"/>
    <w:rsid w:val="00EE75DE"/>
    <w:rsid w:val="00EE78F0"/>
    <w:rsid w:val="00EE7A8C"/>
    <w:rsid w:val="00EE7F68"/>
    <w:rsid w:val="00EF0261"/>
    <w:rsid w:val="00EF0368"/>
    <w:rsid w:val="00EF0578"/>
    <w:rsid w:val="00EF0657"/>
    <w:rsid w:val="00EF08D3"/>
    <w:rsid w:val="00EF0C49"/>
    <w:rsid w:val="00EF0DEB"/>
    <w:rsid w:val="00EF10AC"/>
    <w:rsid w:val="00EF1173"/>
    <w:rsid w:val="00EF1D73"/>
    <w:rsid w:val="00EF1E14"/>
    <w:rsid w:val="00EF2377"/>
    <w:rsid w:val="00EF26D1"/>
    <w:rsid w:val="00EF2993"/>
    <w:rsid w:val="00EF2ACE"/>
    <w:rsid w:val="00EF2B49"/>
    <w:rsid w:val="00EF347D"/>
    <w:rsid w:val="00EF389A"/>
    <w:rsid w:val="00EF3B8C"/>
    <w:rsid w:val="00EF3CCE"/>
    <w:rsid w:val="00EF3D01"/>
    <w:rsid w:val="00EF4047"/>
    <w:rsid w:val="00EF413F"/>
    <w:rsid w:val="00EF4159"/>
    <w:rsid w:val="00EF42C6"/>
    <w:rsid w:val="00EF454A"/>
    <w:rsid w:val="00EF4625"/>
    <w:rsid w:val="00EF482A"/>
    <w:rsid w:val="00EF4E3F"/>
    <w:rsid w:val="00EF5557"/>
    <w:rsid w:val="00EF583D"/>
    <w:rsid w:val="00EF5DC6"/>
    <w:rsid w:val="00EF6293"/>
    <w:rsid w:val="00EF6431"/>
    <w:rsid w:val="00EF692B"/>
    <w:rsid w:val="00EF6A30"/>
    <w:rsid w:val="00EF6A55"/>
    <w:rsid w:val="00EF6CB3"/>
    <w:rsid w:val="00EF741A"/>
    <w:rsid w:val="00EF7502"/>
    <w:rsid w:val="00EF77C2"/>
    <w:rsid w:val="00EF77C4"/>
    <w:rsid w:val="00EF7B22"/>
    <w:rsid w:val="00EF7CDB"/>
    <w:rsid w:val="00F00232"/>
    <w:rsid w:val="00F00476"/>
    <w:rsid w:val="00F005B9"/>
    <w:rsid w:val="00F0088F"/>
    <w:rsid w:val="00F00A44"/>
    <w:rsid w:val="00F00AB4"/>
    <w:rsid w:val="00F00F47"/>
    <w:rsid w:val="00F0110A"/>
    <w:rsid w:val="00F01180"/>
    <w:rsid w:val="00F013A4"/>
    <w:rsid w:val="00F01593"/>
    <w:rsid w:val="00F0162F"/>
    <w:rsid w:val="00F01BB1"/>
    <w:rsid w:val="00F021C4"/>
    <w:rsid w:val="00F0269C"/>
    <w:rsid w:val="00F028E9"/>
    <w:rsid w:val="00F02BC9"/>
    <w:rsid w:val="00F02CD3"/>
    <w:rsid w:val="00F02E76"/>
    <w:rsid w:val="00F0362D"/>
    <w:rsid w:val="00F03B66"/>
    <w:rsid w:val="00F0423A"/>
    <w:rsid w:val="00F04489"/>
    <w:rsid w:val="00F0470F"/>
    <w:rsid w:val="00F0549A"/>
    <w:rsid w:val="00F05BC5"/>
    <w:rsid w:val="00F060BD"/>
    <w:rsid w:val="00F06629"/>
    <w:rsid w:val="00F0667B"/>
    <w:rsid w:val="00F06CD2"/>
    <w:rsid w:val="00F06D13"/>
    <w:rsid w:val="00F06DE4"/>
    <w:rsid w:val="00F070FF"/>
    <w:rsid w:val="00F07209"/>
    <w:rsid w:val="00F072A9"/>
    <w:rsid w:val="00F075A8"/>
    <w:rsid w:val="00F0774A"/>
    <w:rsid w:val="00F07AD7"/>
    <w:rsid w:val="00F10103"/>
    <w:rsid w:val="00F1051F"/>
    <w:rsid w:val="00F10D3F"/>
    <w:rsid w:val="00F11088"/>
    <w:rsid w:val="00F11206"/>
    <w:rsid w:val="00F113D2"/>
    <w:rsid w:val="00F11899"/>
    <w:rsid w:val="00F11A2F"/>
    <w:rsid w:val="00F11DB2"/>
    <w:rsid w:val="00F11DF7"/>
    <w:rsid w:val="00F11E70"/>
    <w:rsid w:val="00F11E93"/>
    <w:rsid w:val="00F12557"/>
    <w:rsid w:val="00F12BFF"/>
    <w:rsid w:val="00F12C12"/>
    <w:rsid w:val="00F12D09"/>
    <w:rsid w:val="00F12D20"/>
    <w:rsid w:val="00F12D6B"/>
    <w:rsid w:val="00F13062"/>
    <w:rsid w:val="00F130A3"/>
    <w:rsid w:val="00F132E4"/>
    <w:rsid w:val="00F13A17"/>
    <w:rsid w:val="00F13ABA"/>
    <w:rsid w:val="00F1425C"/>
    <w:rsid w:val="00F1461B"/>
    <w:rsid w:val="00F14639"/>
    <w:rsid w:val="00F14CCA"/>
    <w:rsid w:val="00F1501E"/>
    <w:rsid w:val="00F15068"/>
    <w:rsid w:val="00F156F0"/>
    <w:rsid w:val="00F15A7B"/>
    <w:rsid w:val="00F15DD6"/>
    <w:rsid w:val="00F15E87"/>
    <w:rsid w:val="00F15EF3"/>
    <w:rsid w:val="00F1640A"/>
    <w:rsid w:val="00F1653C"/>
    <w:rsid w:val="00F16838"/>
    <w:rsid w:val="00F16C31"/>
    <w:rsid w:val="00F17539"/>
    <w:rsid w:val="00F1786F"/>
    <w:rsid w:val="00F17DAF"/>
    <w:rsid w:val="00F2017F"/>
    <w:rsid w:val="00F201AE"/>
    <w:rsid w:val="00F2051E"/>
    <w:rsid w:val="00F20748"/>
    <w:rsid w:val="00F20B63"/>
    <w:rsid w:val="00F20E14"/>
    <w:rsid w:val="00F210E5"/>
    <w:rsid w:val="00F211F6"/>
    <w:rsid w:val="00F214CC"/>
    <w:rsid w:val="00F2181F"/>
    <w:rsid w:val="00F21857"/>
    <w:rsid w:val="00F21D34"/>
    <w:rsid w:val="00F21FF4"/>
    <w:rsid w:val="00F2279A"/>
    <w:rsid w:val="00F227D6"/>
    <w:rsid w:val="00F22A71"/>
    <w:rsid w:val="00F22C5B"/>
    <w:rsid w:val="00F230C1"/>
    <w:rsid w:val="00F233CE"/>
    <w:rsid w:val="00F2390F"/>
    <w:rsid w:val="00F23D3F"/>
    <w:rsid w:val="00F23D5B"/>
    <w:rsid w:val="00F23EDF"/>
    <w:rsid w:val="00F2413A"/>
    <w:rsid w:val="00F2430C"/>
    <w:rsid w:val="00F2461E"/>
    <w:rsid w:val="00F246C7"/>
    <w:rsid w:val="00F24965"/>
    <w:rsid w:val="00F25068"/>
    <w:rsid w:val="00F25D27"/>
    <w:rsid w:val="00F25DDF"/>
    <w:rsid w:val="00F25E65"/>
    <w:rsid w:val="00F25EAD"/>
    <w:rsid w:val="00F26049"/>
    <w:rsid w:val="00F260DC"/>
    <w:rsid w:val="00F26A16"/>
    <w:rsid w:val="00F26AC7"/>
    <w:rsid w:val="00F26FC1"/>
    <w:rsid w:val="00F27FB7"/>
    <w:rsid w:val="00F300E9"/>
    <w:rsid w:val="00F301A7"/>
    <w:rsid w:val="00F302EE"/>
    <w:rsid w:val="00F30F88"/>
    <w:rsid w:val="00F31345"/>
    <w:rsid w:val="00F3195C"/>
    <w:rsid w:val="00F31F14"/>
    <w:rsid w:val="00F32242"/>
    <w:rsid w:val="00F32283"/>
    <w:rsid w:val="00F32771"/>
    <w:rsid w:val="00F32B2C"/>
    <w:rsid w:val="00F32EEA"/>
    <w:rsid w:val="00F33BC6"/>
    <w:rsid w:val="00F33DEF"/>
    <w:rsid w:val="00F33F88"/>
    <w:rsid w:val="00F3406F"/>
    <w:rsid w:val="00F340DA"/>
    <w:rsid w:val="00F3413B"/>
    <w:rsid w:val="00F34165"/>
    <w:rsid w:val="00F342B5"/>
    <w:rsid w:val="00F3445D"/>
    <w:rsid w:val="00F34824"/>
    <w:rsid w:val="00F34964"/>
    <w:rsid w:val="00F349BF"/>
    <w:rsid w:val="00F34CB8"/>
    <w:rsid w:val="00F34F16"/>
    <w:rsid w:val="00F35A44"/>
    <w:rsid w:val="00F35ABF"/>
    <w:rsid w:val="00F35E38"/>
    <w:rsid w:val="00F35F6D"/>
    <w:rsid w:val="00F36190"/>
    <w:rsid w:val="00F3649F"/>
    <w:rsid w:val="00F365B0"/>
    <w:rsid w:val="00F36608"/>
    <w:rsid w:val="00F368FC"/>
    <w:rsid w:val="00F36EBF"/>
    <w:rsid w:val="00F3714A"/>
    <w:rsid w:val="00F37B92"/>
    <w:rsid w:val="00F37C5D"/>
    <w:rsid w:val="00F37DB6"/>
    <w:rsid w:val="00F37E70"/>
    <w:rsid w:val="00F37F39"/>
    <w:rsid w:val="00F40350"/>
    <w:rsid w:val="00F40527"/>
    <w:rsid w:val="00F40930"/>
    <w:rsid w:val="00F40B73"/>
    <w:rsid w:val="00F40BCA"/>
    <w:rsid w:val="00F40D4D"/>
    <w:rsid w:val="00F40DAA"/>
    <w:rsid w:val="00F40F1F"/>
    <w:rsid w:val="00F40F7C"/>
    <w:rsid w:val="00F41096"/>
    <w:rsid w:val="00F410FE"/>
    <w:rsid w:val="00F419C9"/>
    <w:rsid w:val="00F41E0C"/>
    <w:rsid w:val="00F426E1"/>
    <w:rsid w:val="00F42874"/>
    <w:rsid w:val="00F42C27"/>
    <w:rsid w:val="00F42CAD"/>
    <w:rsid w:val="00F42DDD"/>
    <w:rsid w:val="00F42E04"/>
    <w:rsid w:val="00F42E58"/>
    <w:rsid w:val="00F42F2C"/>
    <w:rsid w:val="00F436F7"/>
    <w:rsid w:val="00F43ACD"/>
    <w:rsid w:val="00F44073"/>
    <w:rsid w:val="00F44292"/>
    <w:rsid w:val="00F4480C"/>
    <w:rsid w:val="00F44AA7"/>
    <w:rsid w:val="00F44BB8"/>
    <w:rsid w:val="00F44C11"/>
    <w:rsid w:val="00F44D6D"/>
    <w:rsid w:val="00F45245"/>
    <w:rsid w:val="00F453BC"/>
    <w:rsid w:val="00F454F6"/>
    <w:rsid w:val="00F4559A"/>
    <w:rsid w:val="00F4588E"/>
    <w:rsid w:val="00F4593F"/>
    <w:rsid w:val="00F45D05"/>
    <w:rsid w:val="00F461A7"/>
    <w:rsid w:val="00F465C0"/>
    <w:rsid w:val="00F46EF4"/>
    <w:rsid w:val="00F47547"/>
    <w:rsid w:val="00F476CC"/>
    <w:rsid w:val="00F47870"/>
    <w:rsid w:val="00F47AFF"/>
    <w:rsid w:val="00F47DAA"/>
    <w:rsid w:val="00F5052A"/>
    <w:rsid w:val="00F5056F"/>
    <w:rsid w:val="00F50C51"/>
    <w:rsid w:val="00F510AD"/>
    <w:rsid w:val="00F5110C"/>
    <w:rsid w:val="00F511A9"/>
    <w:rsid w:val="00F513DE"/>
    <w:rsid w:val="00F51497"/>
    <w:rsid w:val="00F52109"/>
    <w:rsid w:val="00F521C3"/>
    <w:rsid w:val="00F52210"/>
    <w:rsid w:val="00F52B1D"/>
    <w:rsid w:val="00F52C5B"/>
    <w:rsid w:val="00F52E74"/>
    <w:rsid w:val="00F52E77"/>
    <w:rsid w:val="00F53420"/>
    <w:rsid w:val="00F5347A"/>
    <w:rsid w:val="00F5349B"/>
    <w:rsid w:val="00F53BDE"/>
    <w:rsid w:val="00F5421D"/>
    <w:rsid w:val="00F5432F"/>
    <w:rsid w:val="00F54D94"/>
    <w:rsid w:val="00F54DAA"/>
    <w:rsid w:val="00F55723"/>
    <w:rsid w:val="00F55C00"/>
    <w:rsid w:val="00F56281"/>
    <w:rsid w:val="00F56824"/>
    <w:rsid w:val="00F5694B"/>
    <w:rsid w:val="00F56BE3"/>
    <w:rsid w:val="00F57651"/>
    <w:rsid w:val="00F57D83"/>
    <w:rsid w:val="00F60189"/>
    <w:rsid w:val="00F6034B"/>
    <w:rsid w:val="00F60A16"/>
    <w:rsid w:val="00F60DCF"/>
    <w:rsid w:val="00F60ED8"/>
    <w:rsid w:val="00F61386"/>
    <w:rsid w:val="00F61501"/>
    <w:rsid w:val="00F619A3"/>
    <w:rsid w:val="00F61A65"/>
    <w:rsid w:val="00F61AA0"/>
    <w:rsid w:val="00F61E8B"/>
    <w:rsid w:val="00F6246A"/>
    <w:rsid w:val="00F6248A"/>
    <w:rsid w:val="00F6296B"/>
    <w:rsid w:val="00F62A22"/>
    <w:rsid w:val="00F62BFC"/>
    <w:rsid w:val="00F62D30"/>
    <w:rsid w:val="00F62DD7"/>
    <w:rsid w:val="00F62F1A"/>
    <w:rsid w:val="00F6302C"/>
    <w:rsid w:val="00F63252"/>
    <w:rsid w:val="00F639B0"/>
    <w:rsid w:val="00F63A54"/>
    <w:rsid w:val="00F63F19"/>
    <w:rsid w:val="00F64754"/>
    <w:rsid w:val="00F6487D"/>
    <w:rsid w:val="00F65174"/>
    <w:rsid w:val="00F655F8"/>
    <w:rsid w:val="00F6590C"/>
    <w:rsid w:val="00F65CE2"/>
    <w:rsid w:val="00F6607D"/>
    <w:rsid w:val="00F66CA1"/>
    <w:rsid w:val="00F66E2B"/>
    <w:rsid w:val="00F671BE"/>
    <w:rsid w:val="00F67484"/>
    <w:rsid w:val="00F678C3"/>
    <w:rsid w:val="00F67B16"/>
    <w:rsid w:val="00F67BF7"/>
    <w:rsid w:val="00F67C36"/>
    <w:rsid w:val="00F70007"/>
    <w:rsid w:val="00F70383"/>
    <w:rsid w:val="00F704D8"/>
    <w:rsid w:val="00F70CAD"/>
    <w:rsid w:val="00F70CFD"/>
    <w:rsid w:val="00F70FCA"/>
    <w:rsid w:val="00F71268"/>
    <w:rsid w:val="00F714C8"/>
    <w:rsid w:val="00F71919"/>
    <w:rsid w:val="00F72398"/>
    <w:rsid w:val="00F72611"/>
    <w:rsid w:val="00F72F08"/>
    <w:rsid w:val="00F72F71"/>
    <w:rsid w:val="00F72FA7"/>
    <w:rsid w:val="00F7309E"/>
    <w:rsid w:val="00F732DC"/>
    <w:rsid w:val="00F73360"/>
    <w:rsid w:val="00F734DF"/>
    <w:rsid w:val="00F73595"/>
    <w:rsid w:val="00F7378A"/>
    <w:rsid w:val="00F739B8"/>
    <w:rsid w:val="00F73E49"/>
    <w:rsid w:val="00F73E5E"/>
    <w:rsid w:val="00F7408E"/>
    <w:rsid w:val="00F740D4"/>
    <w:rsid w:val="00F74199"/>
    <w:rsid w:val="00F74685"/>
    <w:rsid w:val="00F7486D"/>
    <w:rsid w:val="00F74A51"/>
    <w:rsid w:val="00F750F7"/>
    <w:rsid w:val="00F75611"/>
    <w:rsid w:val="00F7617C"/>
    <w:rsid w:val="00F76327"/>
    <w:rsid w:val="00F76334"/>
    <w:rsid w:val="00F766C1"/>
    <w:rsid w:val="00F768AA"/>
    <w:rsid w:val="00F76A0C"/>
    <w:rsid w:val="00F76B5C"/>
    <w:rsid w:val="00F7716A"/>
    <w:rsid w:val="00F77208"/>
    <w:rsid w:val="00F7737C"/>
    <w:rsid w:val="00F778C2"/>
    <w:rsid w:val="00F778D0"/>
    <w:rsid w:val="00F77EC3"/>
    <w:rsid w:val="00F80118"/>
    <w:rsid w:val="00F80954"/>
    <w:rsid w:val="00F80F59"/>
    <w:rsid w:val="00F812DE"/>
    <w:rsid w:val="00F816C4"/>
    <w:rsid w:val="00F8218B"/>
    <w:rsid w:val="00F826F6"/>
    <w:rsid w:val="00F82AF2"/>
    <w:rsid w:val="00F82BE6"/>
    <w:rsid w:val="00F82C8B"/>
    <w:rsid w:val="00F8316A"/>
    <w:rsid w:val="00F83283"/>
    <w:rsid w:val="00F8328E"/>
    <w:rsid w:val="00F834CE"/>
    <w:rsid w:val="00F83536"/>
    <w:rsid w:val="00F83620"/>
    <w:rsid w:val="00F8374E"/>
    <w:rsid w:val="00F838C2"/>
    <w:rsid w:val="00F83ECB"/>
    <w:rsid w:val="00F83FD2"/>
    <w:rsid w:val="00F84D1E"/>
    <w:rsid w:val="00F84F95"/>
    <w:rsid w:val="00F850AE"/>
    <w:rsid w:val="00F85459"/>
    <w:rsid w:val="00F854A2"/>
    <w:rsid w:val="00F855FB"/>
    <w:rsid w:val="00F8568B"/>
    <w:rsid w:val="00F8592E"/>
    <w:rsid w:val="00F85A47"/>
    <w:rsid w:val="00F85ADD"/>
    <w:rsid w:val="00F86143"/>
    <w:rsid w:val="00F86AAE"/>
    <w:rsid w:val="00F86CC8"/>
    <w:rsid w:val="00F86D11"/>
    <w:rsid w:val="00F86DC4"/>
    <w:rsid w:val="00F870C4"/>
    <w:rsid w:val="00F87171"/>
    <w:rsid w:val="00F874AA"/>
    <w:rsid w:val="00F87994"/>
    <w:rsid w:val="00F87D6A"/>
    <w:rsid w:val="00F87DDE"/>
    <w:rsid w:val="00F87F1A"/>
    <w:rsid w:val="00F9007A"/>
    <w:rsid w:val="00F90254"/>
    <w:rsid w:val="00F903C2"/>
    <w:rsid w:val="00F90477"/>
    <w:rsid w:val="00F907E8"/>
    <w:rsid w:val="00F908F6"/>
    <w:rsid w:val="00F90E9D"/>
    <w:rsid w:val="00F91326"/>
    <w:rsid w:val="00F922D2"/>
    <w:rsid w:val="00F92698"/>
    <w:rsid w:val="00F9270E"/>
    <w:rsid w:val="00F928F9"/>
    <w:rsid w:val="00F92901"/>
    <w:rsid w:val="00F92E8A"/>
    <w:rsid w:val="00F93111"/>
    <w:rsid w:val="00F93A8B"/>
    <w:rsid w:val="00F93AD0"/>
    <w:rsid w:val="00F93CF4"/>
    <w:rsid w:val="00F9432B"/>
    <w:rsid w:val="00F94CC5"/>
    <w:rsid w:val="00F94DDD"/>
    <w:rsid w:val="00F94EB1"/>
    <w:rsid w:val="00F94FD3"/>
    <w:rsid w:val="00F953A1"/>
    <w:rsid w:val="00F9543C"/>
    <w:rsid w:val="00F95589"/>
    <w:rsid w:val="00F962D2"/>
    <w:rsid w:val="00F96523"/>
    <w:rsid w:val="00F96723"/>
    <w:rsid w:val="00F96BC4"/>
    <w:rsid w:val="00F96C5F"/>
    <w:rsid w:val="00F96E51"/>
    <w:rsid w:val="00F96FCD"/>
    <w:rsid w:val="00F97C5F"/>
    <w:rsid w:val="00FA034C"/>
    <w:rsid w:val="00FA065D"/>
    <w:rsid w:val="00FA06C8"/>
    <w:rsid w:val="00FA09D2"/>
    <w:rsid w:val="00FA0AE8"/>
    <w:rsid w:val="00FA0C93"/>
    <w:rsid w:val="00FA0D50"/>
    <w:rsid w:val="00FA1267"/>
    <w:rsid w:val="00FA138A"/>
    <w:rsid w:val="00FA1546"/>
    <w:rsid w:val="00FA1593"/>
    <w:rsid w:val="00FA15B7"/>
    <w:rsid w:val="00FA1729"/>
    <w:rsid w:val="00FA19A5"/>
    <w:rsid w:val="00FA1A6C"/>
    <w:rsid w:val="00FA1C2A"/>
    <w:rsid w:val="00FA1EFA"/>
    <w:rsid w:val="00FA1F5E"/>
    <w:rsid w:val="00FA2413"/>
    <w:rsid w:val="00FA25DE"/>
    <w:rsid w:val="00FA27E5"/>
    <w:rsid w:val="00FA2CA8"/>
    <w:rsid w:val="00FA3668"/>
    <w:rsid w:val="00FA37C7"/>
    <w:rsid w:val="00FA3934"/>
    <w:rsid w:val="00FA39CE"/>
    <w:rsid w:val="00FA4DA7"/>
    <w:rsid w:val="00FA4DC3"/>
    <w:rsid w:val="00FA4DCA"/>
    <w:rsid w:val="00FA4E35"/>
    <w:rsid w:val="00FA4F76"/>
    <w:rsid w:val="00FA5459"/>
    <w:rsid w:val="00FA5753"/>
    <w:rsid w:val="00FA5B2D"/>
    <w:rsid w:val="00FA5EFC"/>
    <w:rsid w:val="00FA60B0"/>
    <w:rsid w:val="00FA66D8"/>
    <w:rsid w:val="00FA6D3F"/>
    <w:rsid w:val="00FA6F87"/>
    <w:rsid w:val="00FA713F"/>
    <w:rsid w:val="00FA7AE9"/>
    <w:rsid w:val="00FA7CBE"/>
    <w:rsid w:val="00FA7D32"/>
    <w:rsid w:val="00FA7EEF"/>
    <w:rsid w:val="00FB012C"/>
    <w:rsid w:val="00FB0147"/>
    <w:rsid w:val="00FB0286"/>
    <w:rsid w:val="00FB02B5"/>
    <w:rsid w:val="00FB02ED"/>
    <w:rsid w:val="00FB0307"/>
    <w:rsid w:val="00FB0431"/>
    <w:rsid w:val="00FB0788"/>
    <w:rsid w:val="00FB0799"/>
    <w:rsid w:val="00FB090B"/>
    <w:rsid w:val="00FB0996"/>
    <w:rsid w:val="00FB169B"/>
    <w:rsid w:val="00FB1B31"/>
    <w:rsid w:val="00FB1B3E"/>
    <w:rsid w:val="00FB26B5"/>
    <w:rsid w:val="00FB3099"/>
    <w:rsid w:val="00FB3215"/>
    <w:rsid w:val="00FB356E"/>
    <w:rsid w:val="00FB3995"/>
    <w:rsid w:val="00FB3DAD"/>
    <w:rsid w:val="00FB405E"/>
    <w:rsid w:val="00FB4504"/>
    <w:rsid w:val="00FB495C"/>
    <w:rsid w:val="00FB4C05"/>
    <w:rsid w:val="00FB4D03"/>
    <w:rsid w:val="00FB4DC6"/>
    <w:rsid w:val="00FB515F"/>
    <w:rsid w:val="00FB53D1"/>
    <w:rsid w:val="00FB5C42"/>
    <w:rsid w:val="00FB5F5F"/>
    <w:rsid w:val="00FB621B"/>
    <w:rsid w:val="00FB6223"/>
    <w:rsid w:val="00FB622C"/>
    <w:rsid w:val="00FB6241"/>
    <w:rsid w:val="00FB6392"/>
    <w:rsid w:val="00FB6457"/>
    <w:rsid w:val="00FB64D1"/>
    <w:rsid w:val="00FB6C46"/>
    <w:rsid w:val="00FB6CAC"/>
    <w:rsid w:val="00FB7BBB"/>
    <w:rsid w:val="00FB7F2E"/>
    <w:rsid w:val="00FC060E"/>
    <w:rsid w:val="00FC074E"/>
    <w:rsid w:val="00FC075C"/>
    <w:rsid w:val="00FC0B4E"/>
    <w:rsid w:val="00FC0C72"/>
    <w:rsid w:val="00FC0DDE"/>
    <w:rsid w:val="00FC1527"/>
    <w:rsid w:val="00FC15BC"/>
    <w:rsid w:val="00FC16C8"/>
    <w:rsid w:val="00FC1A81"/>
    <w:rsid w:val="00FC1A97"/>
    <w:rsid w:val="00FC1F9D"/>
    <w:rsid w:val="00FC2172"/>
    <w:rsid w:val="00FC217B"/>
    <w:rsid w:val="00FC2325"/>
    <w:rsid w:val="00FC23E2"/>
    <w:rsid w:val="00FC249C"/>
    <w:rsid w:val="00FC25AF"/>
    <w:rsid w:val="00FC2A74"/>
    <w:rsid w:val="00FC2EAF"/>
    <w:rsid w:val="00FC2EC8"/>
    <w:rsid w:val="00FC3371"/>
    <w:rsid w:val="00FC340B"/>
    <w:rsid w:val="00FC3591"/>
    <w:rsid w:val="00FC36C9"/>
    <w:rsid w:val="00FC3840"/>
    <w:rsid w:val="00FC3A84"/>
    <w:rsid w:val="00FC3BB7"/>
    <w:rsid w:val="00FC3E20"/>
    <w:rsid w:val="00FC497D"/>
    <w:rsid w:val="00FC4B98"/>
    <w:rsid w:val="00FC4D77"/>
    <w:rsid w:val="00FC5352"/>
    <w:rsid w:val="00FC553B"/>
    <w:rsid w:val="00FC59BC"/>
    <w:rsid w:val="00FC5B55"/>
    <w:rsid w:val="00FC5C97"/>
    <w:rsid w:val="00FC61DC"/>
    <w:rsid w:val="00FC6B7E"/>
    <w:rsid w:val="00FC6BB2"/>
    <w:rsid w:val="00FC6E0F"/>
    <w:rsid w:val="00FC6EBB"/>
    <w:rsid w:val="00FC78DA"/>
    <w:rsid w:val="00FC7C5C"/>
    <w:rsid w:val="00FC7C98"/>
    <w:rsid w:val="00FC7CE1"/>
    <w:rsid w:val="00FC7CEB"/>
    <w:rsid w:val="00FC7FF9"/>
    <w:rsid w:val="00FD01CC"/>
    <w:rsid w:val="00FD08B1"/>
    <w:rsid w:val="00FD0A07"/>
    <w:rsid w:val="00FD0A2E"/>
    <w:rsid w:val="00FD0B4D"/>
    <w:rsid w:val="00FD1584"/>
    <w:rsid w:val="00FD15FD"/>
    <w:rsid w:val="00FD17F6"/>
    <w:rsid w:val="00FD19B7"/>
    <w:rsid w:val="00FD1A1A"/>
    <w:rsid w:val="00FD1E5F"/>
    <w:rsid w:val="00FD1EE7"/>
    <w:rsid w:val="00FD232A"/>
    <w:rsid w:val="00FD264C"/>
    <w:rsid w:val="00FD29C7"/>
    <w:rsid w:val="00FD2A14"/>
    <w:rsid w:val="00FD2CDB"/>
    <w:rsid w:val="00FD2D78"/>
    <w:rsid w:val="00FD2F8B"/>
    <w:rsid w:val="00FD3335"/>
    <w:rsid w:val="00FD3533"/>
    <w:rsid w:val="00FD37C7"/>
    <w:rsid w:val="00FD3BD8"/>
    <w:rsid w:val="00FD3FDB"/>
    <w:rsid w:val="00FD42AD"/>
    <w:rsid w:val="00FD4552"/>
    <w:rsid w:val="00FD4ADE"/>
    <w:rsid w:val="00FD5043"/>
    <w:rsid w:val="00FD515C"/>
    <w:rsid w:val="00FD516A"/>
    <w:rsid w:val="00FD52D4"/>
    <w:rsid w:val="00FD538D"/>
    <w:rsid w:val="00FD53F8"/>
    <w:rsid w:val="00FD568D"/>
    <w:rsid w:val="00FD5A71"/>
    <w:rsid w:val="00FD5FEC"/>
    <w:rsid w:val="00FD642B"/>
    <w:rsid w:val="00FD6432"/>
    <w:rsid w:val="00FD6B32"/>
    <w:rsid w:val="00FD6DB2"/>
    <w:rsid w:val="00FD71FA"/>
    <w:rsid w:val="00FD752B"/>
    <w:rsid w:val="00FD7535"/>
    <w:rsid w:val="00FD7646"/>
    <w:rsid w:val="00FD77D6"/>
    <w:rsid w:val="00FD79DE"/>
    <w:rsid w:val="00FD7B38"/>
    <w:rsid w:val="00FD7C44"/>
    <w:rsid w:val="00FD7C84"/>
    <w:rsid w:val="00FD7EA7"/>
    <w:rsid w:val="00FD7F51"/>
    <w:rsid w:val="00FE04B7"/>
    <w:rsid w:val="00FE07E2"/>
    <w:rsid w:val="00FE0E23"/>
    <w:rsid w:val="00FE0F8A"/>
    <w:rsid w:val="00FE15F7"/>
    <w:rsid w:val="00FE1783"/>
    <w:rsid w:val="00FE17C0"/>
    <w:rsid w:val="00FE1C39"/>
    <w:rsid w:val="00FE21C2"/>
    <w:rsid w:val="00FE23E4"/>
    <w:rsid w:val="00FE25F1"/>
    <w:rsid w:val="00FE263B"/>
    <w:rsid w:val="00FE26E6"/>
    <w:rsid w:val="00FE2BFE"/>
    <w:rsid w:val="00FE353A"/>
    <w:rsid w:val="00FE3880"/>
    <w:rsid w:val="00FE406F"/>
    <w:rsid w:val="00FE4225"/>
    <w:rsid w:val="00FE4394"/>
    <w:rsid w:val="00FE4466"/>
    <w:rsid w:val="00FE44CB"/>
    <w:rsid w:val="00FE4575"/>
    <w:rsid w:val="00FE4934"/>
    <w:rsid w:val="00FE4EC6"/>
    <w:rsid w:val="00FE582A"/>
    <w:rsid w:val="00FE5B23"/>
    <w:rsid w:val="00FE6190"/>
    <w:rsid w:val="00FE664B"/>
    <w:rsid w:val="00FE66D3"/>
    <w:rsid w:val="00FE6F0E"/>
    <w:rsid w:val="00FE713F"/>
    <w:rsid w:val="00FE72D3"/>
    <w:rsid w:val="00FE7503"/>
    <w:rsid w:val="00FE762E"/>
    <w:rsid w:val="00FE76E6"/>
    <w:rsid w:val="00FE7AD4"/>
    <w:rsid w:val="00FE7CC1"/>
    <w:rsid w:val="00FE7E49"/>
    <w:rsid w:val="00FF03B9"/>
    <w:rsid w:val="00FF0626"/>
    <w:rsid w:val="00FF06E0"/>
    <w:rsid w:val="00FF0722"/>
    <w:rsid w:val="00FF0BEF"/>
    <w:rsid w:val="00FF149C"/>
    <w:rsid w:val="00FF18A3"/>
    <w:rsid w:val="00FF19A8"/>
    <w:rsid w:val="00FF22FB"/>
    <w:rsid w:val="00FF24E6"/>
    <w:rsid w:val="00FF28EB"/>
    <w:rsid w:val="00FF36BA"/>
    <w:rsid w:val="00FF36D0"/>
    <w:rsid w:val="00FF370A"/>
    <w:rsid w:val="00FF4146"/>
    <w:rsid w:val="00FF4279"/>
    <w:rsid w:val="00FF42A3"/>
    <w:rsid w:val="00FF433C"/>
    <w:rsid w:val="00FF435C"/>
    <w:rsid w:val="00FF44EE"/>
    <w:rsid w:val="00FF4608"/>
    <w:rsid w:val="00FF4742"/>
    <w:rsid w:val="00FF4853"/>
    <w:rsid w:val="00FF4927"/>
    <w:rsid w:val="00FF4E05"/>
    <w:rsid w:val="00FF4F1D"/>
    <w:rsid w:val="00FF5013"/>
    <w:rsid w:val="00FF52E3"/>
    <w:rsid w:val="00FF550A"/>
    <w:rsid w:val="00FF5A55"/>
    <w:rsid w:val="00FF5C5D"/>
    <w:rsid w:val="00FF5E6F"/>
    <w:rsid w:val="00FF5F36"/>
    <w:rsid w:val="00FF612E"/>
    <w:rsid w:val="00FF65D1"/>
    <w:rsid w:val="00FF6D27"/>
    <w:rsid w:val="00FF6FF6"/>
    <w:rsid w:val="00FF7275"/>
    <w:rsid w:val="00FF72C7"/>
    <w:rsid w:val="00FF73EE"/>
    <w:rsid w:val="00FF75D8"/>
    <w:rsid w:val="00FF7B34"/>
    <w:rsid w:val="00FF7D4E"/>
    <w:rsid w:val="00FF7DB9"/>
    <w:rsid w:val="00FF7DBD"/>
    <w:rsid w:val="03B3BEE4"/>
    <w:rsid w:val="0700488D"/>
    <w:rsid w:val="0C8E2912"/>
    <w:rsid w:val="0D43A8D4"/>
    <w:rsid w:val="0E62D06C"/>
    <w:rsid w:val="104CEF20"/>
    <w:rsid w:val="114747DC"/>
    <w:rsid w:val="152059FD"/>
    <w:rsid w:val="15F3C969"/>
    <w:rsid w:val="160E0983"/>
    <w:rsid w:val="16883F1E"/>
    <w:rsid w:val="172C58E7"/>
    <w:rsid w:val="188B5A59"/>
    <w:rsid w:val="1A9924A4"/>
    <w:rsid w:val="1D3D8E79"/>
    <w:rsid w:val="2046781F"/>
    <w:rsid w:val="206C6836"/>
    <w:rsid w:val="220ECF50"/>
    <w:rsid w:val="24E2A354"/>
    <w:rsid w:val="258AFA95"/>
    <w:rsid w:val="25CAE72B"/>
    <w:rsid w:val="26CAD7AE"/>
    <w:rsid w:val="29D03664"/>
    <w:rsid w:val="29EBF0E9"/>
    <w:rsid w:val="2A1C6E33"/>
    <w:rsid w:val="2CA13C4D"/>
    <w:rsid w:val="2CD17335"/>
    <w:rsid w:val="2D3AECA9"/>
    <w:rsid w:val="2DBB7F88"/>
    <w:rsid w:val="2EEC9D0E"/>
    <w:rsid w:val="300BF92D"/>
    <w:rsid w:val="30927F1C"/>
    <w:rsid w:val="31C6B7BA"/>
    <w:rsid w:val="3542275F"/>
    <w:rsid w:val="3598124F"/>
    <w:rsid w:val="36337B1C"/>
    <w:rsid w:val="36713FDA"/>
    <w:rsid w:val="389E9B85"/>
    <w:rsid w:val="38CC15F6"/>
    <w:rsid w:val="38D9FEB5"/>
    <w:rsid w:val="3976644A"/>
    <w:rsid w:val="3A0120AE"/>
    <w:rsid w:val="3D389C37"/>
    <w:rsid w:val="3F801F7C"/>
    <w:rsid w:val="40328E68"/>
    <w:rsid w:val="41CBA3E1"/>
    <w:rsid w:val="4262DBEE"/>
    <w:rsid w:val="42B8B375"/>
    <w:rsid w:val="48E85199"/>
    <w:rsid w:val="4949716C"/>
    <w:rsid w:val="49B21B84"/>
    <w:rsid w:val="4A05AAFD"/>
    <w:rsid w:val="4A115F23"/>
    <w:rsid w:val="4BEEE381"/>
    <w:rsid w:val="4E25DC38"/>
    <w:rsid w:val="4E273A3F"/>
    <w:rsid w:val="4E872F3B"/>
    <w:rsid w:val="4EAB6110"/>
    <w:rsid w:val="4FF02062"/>
    <w:rsid w:val="5292FCC6"/>
    <w:rsid w:val="52DE7C50"/>
    <w:rsid w:val="54273C41"/>
    <w:rsid w:val="554F95EA"/>
    <w:rsid w:val="56E2F9C6"/>
    <w:rsid w:val="570B51FA"/>
    <w:rsid w:val="577C8082"/>
    <w:rsid w:val="58D3F24E"/>
    <w:rsid w:val="59579906"/>
    <w:rsid w:val="59789BC1"/>
    <w:rsid w:val="5AFF30B4"/>
    <w:rsid w:val="5BC2E822"/>
    <w:rsid w:val="5C8800A8"/>
    <w:rsid w:val="5C984316"/>
    <w:rsid w:val="5D9F639F"/>
    <w:rsid w:val="604C920F"/>
    <w:rsid w:val="604E8872"/>
    <w:rsid w:val="60D795ED"/>
    <w:rsid w:val="629E441C"/>
    <w:rsid w:val="62F1BA75"/>
    <w:rsid w:val="636C23EA"/>
    <w:rsid w:val="651F8B87"/>
    <w:rsid w:val="67EAF954"/>
    <w:rsid w:val="6AF1666B"/>
    <w:rsid w:val="6B552FED"/>
    <w:rsid w:val="6C85AA5D"/>
    <w:rsid w:val="6D110EFB"/>
    <w:rsid w:val="72D34BC9"/>
    <w:rsid w:val="73E50896"/>
    <w:rsid w:val="75828AE8"/>
    <w:rsid w:val="76C3412D"/>
    <w:rsid w:val="7A2C7749"/>
    <w:rsid w:val="7A90B072"/>
    <w:rsid w:val="7B1EE391"/>
    <w:rsid w:val="7BA681A6"/>
    <w:rsid w:val="7E6201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5C9842"/>
  <w15:docId w15:val="{cbcb4d34-9c67-4c5e-9590-9b514cfb71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41F75"/>
    <w:pPr>
      <w:keepNext/>
      <w:keepLines/>
      <w:numPr>
        <w:numId w:val="8"/>
      </w:numPr>
      <w:spacing w:before="240" w:after="0" w:line="259" w:lineRule="auto"/>
      <w:outlineLvl w:val="0"/>
    </w:pPr>
    <w:rPr>
      <w:rFonts w:asciiTheme="majorHAnsi" w:hAnsiTheme="majorHAnsi" w:eastAsiaTheme="majorEastAsia" w:cstheme="majorBidi"/>
      <w:color w:val="365F91" w:themeColor="accent1" w:themeShade="BF"/>
      <w:sz w:val="32"/>
      <w:szCs w:val="32"/>
      <w:lang w:val="en-GB"/>
    </w:rPr>
  </w:style>
  <w:style w:type="paragraph" w:styleId="Heading2">
    <w:name w:val="heading 2"/>
    <w:basedOn w:val="Normal"/>
    <w:next w:val="Normal"/>
    <w:link w:val="Heading2Char"/>
    <w:uiPriority w:val="9"/>
    <w:unhideWhenUsed/>
    <w:qFormat/>
    <w:rsid w:val="00B03998"/>
    <w:pPr>
      <w:keepNext/>
      <w:keepLines/>
      <w:numPr>
        <w:ilvl w:val="1"/>
        <w:numId w:val="8"/>
      </w:numPr>
      <w:spacing w:before="40" w:after="0" w:line="259" w:lineRule="auto"/>
      <w:outlineLvl w:val="1"/>
    </w:pPr>
    <w:rPr>
      <w:rFonts w:asciiTheme="majorHAnsi" w:hAnsiTheme="majorHAnsi" w:eastAsiaTheme="majorEastAsia" w:cstheme="majorBidi"/>
      <w:color w:val="365F91" w:themeColor="accent1" w:themeShade="BF"/>
      <w:sz w:val="26"/>
      <w:szCs w:val="26"/>
      <w:lang w:val="en-GB"/>
    </w:rPr>
  </w:style>
  <w:style w:type="paragraph" w:styleId="Heading3">
    <w:name w:val="heading 3"/>
    <w:basedOn w:val="Normal"/>
    <w:next w:val="Normal"/>
    <w:link w:val="Heading3Char"/>
    <w:uiPriority w:val="9"/>
    <w:unhideWhenUsed/>
    <w:qFormat/>
    <w:rsid w:val="008158EA"/>
    <w:pPr>
      <w:keepNext/>
      <w:keepLines/>
      <w:numPr>
        <w:ilvl w:val="2"/>
        <w:numId w:val="8"/>
      </w:numPr>
      <w:spacing w:before="40" w:after="0" w:line="259" w:lineRule="auto"/>
      <w:outlineLvl w:val="2"/>
    </w:pPr>
    <w:rPr>
      <w:rFonts w:asciiTheme="majorHAnsi" w:hAnsiTheme="majorHAnsi" w:eastAsiaTheme="majorEastAsia" w:cstheme="majorBidi"/>
      <w:color w:val="243F60" w:themeColor="accent1" w:themeShade="7F"/>
      <w:sz w:val="24"/>
      <w:szCs w:val="24"/>
      <w:lang w:val="en-GB"/>
    </w:rPr>
  </w:style>
  <w:style w:type="paragraph" w:styleId="Heading4">
    <w:name w:val="heading 4"/>
    <w:basedOn w:val="Normal"/>
    <w:next w:val="Normal"/>
    <w:link w:val="Heading4Char"/>
    <w:uiPriority w:val="9"/>
    <w:semiHidden/>
    <w:unhideWhenUsed/>
    <w:qFormat/>
    <w:rsid w:val="008158EA"/>
    <w:pPr>
      <w:keepNext/>
      <w:keepLines/>
      <w:numPr>
        <w:ilvl w:val="3"/>
        <w:numId w:val="8"/>
      </w:numPr>
      <w:spacing w:before="40" w:after="0" w:line="259" w:lineRule="auto"/>
      <w:outlineLvl w:val="3"/>
    </w:pPr>
    <w:rPr>
      <w:rFonts w:asciiTheme="majorHAnsi" w:hAnsiTheme="majorHAnsi" w:eastAsiaTheme="majorEastAsia" w:cstheme="majorBidi"/>
      <w:i/>
      <w:iCs/>
      <w:color w:val="365F91" w:themeColor="accent1" w:themeShade="BF"/>
      <w:lang w:val="en-GB"/>
    </w:rPr>
  </w:style>
  <w:style w:type="paragraph" w:styleId="Heading5">
    <w:name w:val="heading 5"/>
    <w:basedOn w:val="Normal"/>
    <w:next w:val="Normal"/>
    <w:link w:val="Heading5Char"/>
    <w:uiPriority w:val="9"/>
    <w:semiHidden/>
    <w:unhideWhenUsed/>
    <w:qFormat/>
    <w:rsid w:val="008158EA"/>
    <w:pPr>
      <w:keepNext/>
      <w:keepLines/>
      <w:numPr>
        <w:ilvl w:val="4"/>
        <w:numId w:val="8"/>
      </w:numPr>
      <w:spacing w:before="40" w:after="0" w:line="259" w:lineRule="auto"/>
      <w:outlineLvl w:val="4"/>
    </w:pPr>
    <w:rPr>
      <w:rFonts w:asciiTheme="majorHAnsi" w:hAnsiTheme="majorHAnsi" w:eastAsiaTheme="majorEastAsia" w:cstheme="majorBidi"/>
      <w:color w:val="365F91" w:themeColor="accent1" w:themeShade="BF"/>
      <w:lang w:val="en-GB"/>
    </w:rPr>
  </w:style>
  <w:style w:type="paragraph" w:styleId="Heading6">
    <w:name w:val="heading 6"/>
    <w:basedOn w:val="Normal"/>
    <w:next w:val="Normal"/>
    <w:link w:val="Heading6Char"/>
    <w:uiPriority w:val="9"/>
    <w:semiHidden/>
    <w:unhideWhenUsed/>
    <w:qFormat/>
    <w:rsid w:val="008158EA"/>
    <w:pPr>
      <w:keepNext/>
      <w:keepLines/>
      <w:numPr>
        <w:ilvl w:val="5"/>
        <w:numId w:val="8"/>
      </w:numPr>
      <w:spacing w:before="40" w:after="0" w:line="259" w:lineRule="auto"/>
      <w:outlineLvl w:val="5"/>
    </w:pPr>
    <w:rPr>
      <w:rFonts w:asciiTheme="majorHAnsi" w:hAnsiTheme="majorHAnsi" w:eastAsiaTheme="majorEastAsia" w:cstheme="majorBidi"/>
      <w:color w:val="243F60" w:themeColor="accent1" w:themeShade="7F"/>
      <w:lang w:val="en-GB"/>
    </w:rPr>
  </w:style>
  <w:style w:type="paragraph" w:styleId="Heading7">
    <w:name w:val="heading 7"/>
    <w:basedOn w:val="Normal"/>
    <w:next w:val="Normal"/>
    <w:link w:val="Heading7Char"/>
    <w:uiPriority w:val="9"/>
    <w:semiHidden/>
    <w:unhideWhenUsed/>
    <w:qFormat/>
    <w:rsid w:val="008158EA"/>
    <w:pPr>
      <w:keepNext/>
      <w:keepLines/>
      <w:numPr>
        <w:ilvl w:val="6"/>
        <w:numId w:val="8"/>
      </w:numPr>
      <w:spacing w:before="40" w:after="0" w:line="259" w:lineRule="auto"/>
      <w:outlineLvl w:val="6"/>
    </w:pPr>
    <w:rPr>
      <w:rFonts w:asciiTheme="majorHAnsi" w:hAnsiTheme="majorHAnsi" w:eastAsiaTheme="majorEastAsia" w:cstheme="majorBidi"/>
      <w:i/>
      <w:iCs/>
      <w:color w:val="243F60" w:themeColor="accent1" w:themeShade="7F"/>
      <w:lang w:val="en-GB"/>
    </w:rPr>
  </w:style>
  <w:style w:type="paragraph" w:styleId="Heading8">
    <w:name w:val="heading 8"/>
    <w:basedOn w:val="Normal"/>
    <w:next w:val="Normal"/>
    <w:link w:val="Heading8Char"/>
    <w:uiPriority w:val="9"/>
    <w:semiHidden/>
    <w:unhideWhenUsed/>
    <w:qFormat/>
    <w:rsid w:val="008158EA"/>
    <w:pPr>
      <w:keepNext/>
      <w:keepLines/>
      <w:numPr>
        <w:ilvl w:val="7"/>
        <w:numId w:val="8"/>
      </w:numPr>
      <w:spacing w:before="40" w:after="0" w:line="259" w:lineRule="auto"/>
      <w:outlineLvl w:val="7"/>
    </w:pPr>
    <w:rPr>
      <w:rFonts w:asciiTheme="majorHAnsi" w:hAnsiTheme="majorHAnsi" w:eastAsiaTheme="majorEastAsia"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8158EA"/>
    <w:pPr>
      <w:keepNext/>
      <w:keepLines/>
      <w:numPr>
        <w:ilvl w:val="8"/>
        <w:numId w:val="8"/>
      </w:numPr>
      <w:spacing w:before="40" w:after="0" w:line="259" w:lineRule="auto"/>
      <w:outlineLvl w:val="8"/>
    </w:pPr>
    <w:rPr>
      <w:rFonts w:asciiTheme="majorHAnsi" w:hAnsiTheme="majorHAnsi" w:eastAsiaTheme="majorEastAsia" w:cstheme="majorBidi"/>
      <w:i/>
      <w:iCs/>
      <w:color w:val="272727" w:themeColor="text1" w:themeTint="D8"/>
      <w:sz w:val="21"/>
      <w:szCs w:val="21"/>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aliases w:val="Paragraphe EI,Paragraphe de liste1,EC,Colorful List Accent 1,Paragraphe de liste11,Liste couleur - Accent 11,Paragraphe de liste2,RUS List,Issue Action POC,List Paragraph1,3,POCG Table Text,Dot pt,F5 List Paragraph,Indicator Text,Bullet 1"/>
    <w:basedOn w:val="Normal"/>
    <w:link w:val="ListParagraphChar"/>
    <w:uiPriority w:val="34"/>
    <w:qFormat/>
    <w:rsid w:val="00F83536"/>
    <w:pPr>
      <w:spacing w:after="160" w:line="259" w:lineRule="auto"/>
      <w:ind w:left="720"/>
      <w:contextualSpacing/>
    </w:pPr>
    <w:rPr>
      <w:rFonts w:eastAsiaTheme="minorHAnsi"/>
      <w:lang w:val="en-GB"/>
    </w:rPr>
  </w:style>
  <w:style w:type="paragraph" w:styleId="Default" w:customStyle="1">
    <w:name w:val="Default"/>
    <w:rsid w:val="00890FF7"/>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FB02E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Paragraph" w:customStyle="1">
    <w:name w:val="Table Paragraph"/>
    <w:basedOn w:val="Normal"/>
    <w:uiPriority w:val="1"/>
    <w:qFormat/>
    <w:rsid w:val="0075652A"/>
    <w:pPr>
      <w:autoSpaceDE w:val="0"/>
      <w:autoSpaceDN w:val="0"/>
      <w:adjustRightInd w:val="0"/>
      <w:spacing w:before="54" w:after="0" w:line="240" w:lineRule="auto"/>
      <w:ind w:left="57"/>
    </w:pPr>
    <w:rPr>
      <w:rFonts w:ascii="Calibri" w:hAnsi="Calibri" w:cs="Calibri"/>
      <w:sz w:val="24"/>
      <w:szCs w:val="24"/>
    </w:rPr>
  </w:style>
  <w:style w:type="paragraph" w:styleId="Header">
    <w:name w:val="header"/>
    <w:basedOn w:val="Normal"/>
    <w:link w:val="HeaderChar"/>
    <w:uiPriority w:val="99"/>
    <w:unhideWhenUsed/>
    <w:rsid w:val="00910C5D"/>
    <w:pPr>
      <w:tabs>
        <w:tab w:val="center" w:pos="4680"/>
        <w:tab w:val="right" w:pos="9360"/>
      </w:tabs>
      <w:spacing w:after="0" w:line="240" w:lineRule="auto"/>
    </w:pPr>
    <w:rPr>
      <w:rFonts w:eastAsiaTheme="minorHAnsi"/>
      <w:lang w:val="en-GB"/>
    </w:rPr>
  </w:style>
  <w:style w:type="character" w:styleId="HeaderChar" w:customStyle="1">
    <w:name w:val="Header Char"/>
    <w:basedOn w:val="DefaultParagraphFont"/>
    <w:link w:val="Header"/>
    <w:uiPriority w:val="99"/>
    <w:rsid w:val="006308B0"/>
    <w:rPr>
      <w:rFonts w:eastAsiaTheme="minorHAnsi"/>
      <w:lang w:val="en-GB"/>
    </w:rPr>
  </w:style>
  <w:style w:type="paragraph" w:styleId="Footer">
    <w:name w:val="footer"/>
    <w:basedOn w:val="Normal"/>
    <w:link w:val="FooterChar"/>
    <w:uiPriority w:val="99"/>
    <w:unhideWhenUsed/>
    <w:rsid w:val="00910C5D"/>
    <w:pPr>
      <w:tabs>
        <w:tab w:val="center" w:pos="4680"/>
        <w:tab w:val="right" w:pos="9360"/>
      </w:tabs>
      <w:spacing w:after="0" w:line="240" w:lineRule="auto"/>
    </w:pPr>
    <w:rPr>
      <w:rFonts w:eastAsiaTheme="minorHAnsi"/>
      <w:lang w:val="en-GB"/>
    </w:rPr>
  </w:style>
  <w:style w:type="character" w:styleId="FooterChar" w:customStyle="1">
    <w:name w:val="Footer Char"/>
    <w:basedOn w:val="DefaultParagraphFont"/>
    <w:link w:val="Footer"/>
    <w:uiPriority w:val="99"/>
    <w:rsid w:val="006308B0"/>
    <w:rPr>
      <w:rFonts w:eastAsiaTheme="minorHAnsi"/>
      <w:lang w:val="en-GB"/>
    </w:rPr>
  </w:style>
  <w:style w:type="paragraph" w:styleId="CommitteeName" w:customStyle="1">
    <w:name w:val="CommitteeName"/>
    <w:basedOn w:val="Normal"/>
    <w:rsid w:val="006308B0"/>
    <w:pPr>
      <w:spacing w:after="0" w:line="240" w:lineRule="auto"/>
    </w:pPr>
    <w:rPr>
      <w:rFonts w:ascii="Times New Roman" w:hAnsi="Times New Roman" w:eastAsia="MS Mincho" w:cs="Arial"/>
      <w:caps/>
      <w:spacing w:val="30"/>
      <w:sz w:val="14"/>
      <w:szCs w:val="14"/>
      <w:lang w:val="en-GB"/>
    </w:rPr>
  </w:style>
  <w:style w:type="paragraph" w:styleId="ReportDate" w:customStyle="1">
    <w:name w:val="ReportDate"/>
    <w:basedOn w:val="Normal"/>
    <w:rsid w:val="006308B0"/>
    <w:pPr>
      <w:spacing w:after="600" w:line="300" w:lineRule="exact"/>
      <w:jc w:val="right"/>
    </w:pPr>
    <w:rPr>
      <w:rFonts w:ascii="Times New Roman" w:hAnsi="Times New Roman" w:eastAsia="MS Mincho" w:cs="Arial"/>
      <w:sz w:val="24"/>
      <w:szCs w:val="24"/>
      <w:lang w:val="en-GB"/>
    </w:rPr>
  </w:style>
  <w:style w:type="character" w:styleId="ListParagraphChar" w:customStyle="1">
    <w:name w:val="List Paragraph Char"/>
    <w:aliases w:val="Paragraphe EI Char,Paragraphe de liste1 Char,EC Char,Colorful List Accent 1 Char,Paragraphe de liste11 Char,Liste couleur - Accent 11 Char,Paragraphe de liste2 Char,RUS List Char,Issue Action POC Char,List Paragraph1 Char,3 Char"/>
    <w:basedOn w:val="DefaultParagraphFont"/>
    <w:link w:val="ListParagraph"/>
    <w:uiPriority w:val="34"/>
    <w:qFormat/>
    <w:locked/>
    <w:rsid w:val="006308B0"/>
    <w:rPr>
      <w:rFonts w:eastAsiaTheme="minorHAnsi"/>
      <w:lang w:val="en-GB"/>
    </w:rPr>
  </w:style>
  <w:style w:type="character" w:styleId="CommentReference">
    <w:name w:val="annotation reference"/>
    <w:basedOn w:val="DefaultParagraphFont"/>
    <w:uiPriority w:val="99"/>
    <w:unhideWhenUsed/>
    <w:rsid w:val="00195435"/>
    <w:rPr>
      <w:sz w:val="16"/>
      <w:szCs w:val="16"/>
    </w:rPr>
  </w:style>
  <w:style w:type="paragraph" w:styleId="CommentText">
    <w:name w:val="annotation text"/>
    <w:basedOn w:val="Normal"/>
    <w:link w:val="CommentTextChar"/>
    <w:uiPriority w:val="99"/>
    <w:unhideWhenUsed/>
    <w:rsid w:val="00D171F2"/>
    <w:pPr>
      <w:spacing w:after="160" w:line="240" w:lineRule="auto"/>
    </w:pPr>
    <w:rPr>
      <w:rFonts w:eastAsiaTheme="minorHAnsi"/>
      <w:sz w:val="20"/>
      <w:szCs w:val="20"/>
      <w:lang w:val="en-GB"/>
    </w:rPr>
  </w:style>
  <w:style w:type="character" w:styleId="CommentTextChar" w:customStyle="1">
    <w:name w:val="Comment Text Char"/>
    <w:basedOn w:val="DefaultParagraphFont"/>
    <w:link w:val="CommentText"/>
    <w:uiPriority w:val="99"/>
    <w:rsid w:val="00195435"/>
    <w:rPr>
      <w:rFonts w:eastAsiaTheme="minorHAnsi"/>
      <w:sz w:val="20"/>
      <w:szCs w:val="20"/>
      <w:lang w:val="en-GB"/>
    </w:rPr>
  </w:style>
  <w:style w:type="paragraph" w:styleId="BalloonText">
    <w:name w:val="Balloon Text"/>
    <w:basedOn w:val="Normal"/>
    <w:link w:val="BalloonTextChar"/>
    <w:uiPriority w:val="99"/>
    <w:semiHidden/>
    <w:unhideWhenUsed/>
    <w:rsid w:val="00195435"/>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95435"/>
    <w:rPr>
      <w:rFonts w:ascii="Segoe UI" w:hAnsi="Segoe UI" w:cs="Segoe UI"/>
      <w:sz w:val="18"/>
      <w:szCs w:val="18"/>
    </w:rPr>
  </w:style>
  <w:style w:type="character" w:styleId="normaltextrun" w:customStyle="1">
    <w:name w:val="normaltextrun"/>
    <w:basedOn w:val="DefaultParagraphFont"/>
    <w:rsid w:val="00DA4F70"/>
  </w:style>
  <w:style w:type="paragraph" w:styleId="FootnoteText">
    <w:name w:val="footnote text"/>
    <w:basedOn w:val="Normal"/>
    <w:link w:val="FootnoteTextChar"/>
    <w:uiPriority w:val="99"/>
    <w:unhideWhenUsed/>
    <w:rsid w:val="00964436"/>
    <w:pPr>
      <w:spacing w:after="0" w:line="240" w:lineRule="auto"/>
    </w:pPr>
    <w:rPr>
      <w:sz w:val="20"/>
      <w:szCs w:val="20"/>
    </w:rPr>
  </w:style>
  <w:style w:type="character" w:styleId="FootnoteTextChar" w:customStyle="1">
    <w:name w:val="Footnote Text Char"/>
    <w:basedOn w:val="DefaultParagraphFont"/>
    <w:link w:val="FootnoteText"/>
    <w:uiPriority w:val="99"/>
    <w:rsid w:val="00964436"/>
    <w:rPr>
      <w:sz w:val="20"/>
      <w:szCs w:val="20"/>
    </w:rPr>
  </w:style>
  <w:style w:type="character" w:styleId="FootnoteReference">
    <w:name w:val="footnote reference"/>
    <w:basedOn w:val="DefaultParagraphFont"/>
    <w:uiPriority w:val="99"/>
    <w:semiHidden/>
    <w:unhideWhenUsed/>
    <w:rsid w:val="00964436"/>
    <w:rPr>
      <w:vertAlign w:val="superscript"/>
    </w:rPr>
  </w:style>
  <w:style w:type="paragraph" w:styleId="CommentSubject">
    <w:name w:val="annotation subject"/>
    <w:basedOn w:val="CommentText"/>
    <w:next w:val="CommentText"/>
    <w:link w:val="CommentSubjectChar"/>
    <w:uiPriority w:val="99"/>
    <w:semiHidden/>
    <w:unhideWhenUsed/>
    <w:rsid w:val="00D171F2"/>
    <w:rPr>
      <w:b/>
      <w:bCs/>
    </w:rPr>
  </w:style>
  <w:style w:type="character" w:styleId="CommentSubjectChar" w:customStyle="1">
    <w:name w:val="Comment Subject Char"/>
    <w:basedOn w:val="CommentTextChar"/>
    <w:link w:val="CommentSubject"/>
    <w:uiPriority w:val="99"/>
    <w:semiHidden/>
    <w:rsid w:val="00740209"/>
    <w:rPr>
      <w:rFonts w:eastAsiaTheme="minorHAnsi"/>
      <w:b/>
      <w:bCs/>
      <w:sz w:val="20"/>
      <w:szCs w:val="20"/>
      <w:lang w:val="en-GB"/>
    </w:rPr>
  </w:style>
  <w:style w:type="paragraph" w:styleId="paragraph" w:customStyle="1">
    <w:name w:val="paragraph"/>
    <w:basedOn w:val="Normal"/>
    <w:rsid w:val="0088357E"/>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Heading1Char" w:customStyle="1">
    <w:name w:val="Heading 1 Char"/>
    <w:basedOn w:val="DefaultParagraphFont"/>
    <w:link w:val="Heading1"/>
    <w:uiPriority w:val="9"/>
    <w:rsid w:val="00A06F5E"/>
    <w:rPr>
      <w:rFonts w:asciiTheme="majorHAnsi" w:hAnsiTheme="majorHAnsi" w:eastAsiaTheme="majorEastAsia" w:cstheme="majorBidi"/>
      <w:color w:val="365F91" w:themeColor="accent1" w:themeShade="BF"/>
      <w:sz w:val="32"/>
      <w:szCs w:val="32"/>
      <w:lang w:val="en-GB"/>
    </w:rPr>
  </w:style>
  <w:style w:type="character" w:styleId="Heading2Char" w:customStyle="1">
    <w:name w:val="Heading 2 Char"/>
    <w:basedOn w:val="DefaultParagraphFont"/>
    <w:link w:val="Heading2"/>
    <w:uiPriority w:val="9"/>
    <w:rsid w:val="00A06F5E"/>
    <w:rPr>
      <w:rFonts w:asciiTheme="majorHAnsi" w:hAnsiTheme="majorHAnsi" w:eastAsiaTheme="majorEastAsia" w:cstheme="majorBidi"/>
      <w:color w:val="365F91" w:themeColor="accent1" w:themeShade="BF"/>
      <w:sz w:val="26"/>
      <w:szCs w:val="26"/>
      <w:lang w:val="en-GB"/>
    </w:rPr>
  </w:style>
  <w:style w:type="character" w:styleId="Heading3Char" w:customStyle="1">
    <w:name w:val="Heading 3 Char"/>
    <w:basedOn w:val="DefaultParagraphFont"/>
    <w:link w:val="Heading3"/>
    <w:uiPriority w:val="9"/>
    <w:rsid w:val="00A06F5E"/>
    <w:rPr>
      <w:rFonts w:asciiTheme="majorHAnsi" w:hAnsiTheme="majorHAnsi" w:eastAsiaTheme="majorEastAsia" w:cstheme="majorBidi"/>
      <w:color w:val="243F60" w:themeColor="accent1" w:themeShade="7F"/>
      <w:sz w:val="24"/>
      <w:szCs w:val="24"/>
      <w:lang w:val="en-GB"/>
    </w:rPr>
  </w:style>
  <w:style w:type="character" w:styleId="Heading4Char" w:customStyle="1">
    <w:name w:val="Heading 4 Char"/>
    <w:basedOn w:val="DefaultParagraphFont"/>
    <w:link w:val="Heading4"/>
    <w:uiPriority w:val="9"/>
    <w:semiHidden/>
    <w:rsid w:val="00A06F5E"/>
    <w:rPr>
      <w:rFonts w:asciiTheme="majorHAnsi" w:hAnsiTheme="majorHAnsi" w:eastAsiaTheme="majorEastAsia" w:cstheme="majorBidi"/>
      <w:i/>
      <w:iCs/>
      <w:color w:val="365F91" w:themeColor="accent1" w:themeShade="BF"/>
      <w:lang w:val="en-GB"/>
    </w:rPr>
  </w:style>
  <w:style w:type="character" w:styleId="Heading5Char" w:customStyle="1">
    <w:name w:val="Heading 5 Char"/>
    <w:basedOn w:val="DefaultParagraphFont"/>
    <w:link w:val="Heading5"/>
    <w:uiPriority w:val="9"/>
    <w:semiHidden/>
    <w:rsid w:val="00A06F5E"/>
    <w:rPr>
      <w:rFonts w:asciiTheme="majorHAnsi" w:hAnsiTheme="majorHAnsi" w:eastAsiaTheme="majorEastAsia" w:cstheme="majorBidi"/>
      <w:color w:val="365F91" w:themeColor="accent1" w:themeShade="BF"/>
      <w:lang w:val="en-GB"/>
    </w:rPr>
  </w:style>
  <w:style w:type="character" w:styleId="Heading6Char" w:customStyle="1">
    <w:name w:val="Heading 6 Char"/>
    <w:basedOn w:val="DefaultParagraphFont"/>
    <w:link w:val="Heading6"/>
    <w:uiPriority w:val="9"/>
    <w:semiHidden/>
    <w:rsid w:val="00A06F5E"/>
    <w:rPr>
      <w:rFonts w:asciiTheme="majorHAnsi" w:hAnsiTheme="majorHAnsi" w:eastAsiaTheme="majorEastAsia" w:cstheme="majorBidi"/>
      <w:color w:val="243F60" w:themeColor="accent1" w:themeShade="7F"/>
      <w:lang w:val="en-GB"/>
    </w:rPr>
  </w:style>
  <w:style w:type="character" w:styleId="Heading7Char" w:customStyle="1">
    <w:name w:val="Heading 7 Char"/>
    <w:basedOn w:val="DefaultParagraphFont"/>
    <w:link w:val="Heading7"/>
    <w:uiPriority w:val="9"/>
    <w:semiHidden/>
    <w:rsid w:val="00A06F5E"/>
    <w:rPr>
      <w:rFonts w:asciiTheme="majorHAnsi" w:hAnsiTheme="majorHAnsi" w:eastAsiaTheme="majorEastAsia" w:cstheme="majorBidi"/>
      <w:i/>
      <w:iCs/>
      <w:color w:val="243F60" w:themeColor="accent1" w:themeShade="7F"/>
      <w:lang w:val="en-GB"/>
    </w:rPr>
  </w:style>
  <w:style w:type="character" w:styleId="Heading8Char" w:customStyle="1">
    <w:name w:val="Heading 8 Char"/>
    <w:basedOn w:val="DefaultParagraphFont"/>
    <w:link w:val="Heading8"/>
    <w:uiPriority w:val="9"/>
    <w:semiHidden/>
    <w:rsid w:val="00A06F5E"/>
    <w:rPr>
      <w:rFonts w:asciiTheme="majorHAnsi" w:hAnsiTheme="majorHAnsi" w:eastAsiaTheme="majorEastAsia" w:cstheme="majorBidi"/>
      <w:color w:val="272727" w:themeColor="text1" w:themeTint="D8"/>
      <w:sz w:val="21"/>
      <w:szCs w:val="21"/>
      <w:lang w:val="en-GB"/>
    </w:rPr>
  </w:style>
  <w:style w:type="character" w:styleId="Heading9Char" w:customStyle="1">
    <w:name w:val="Heading 9 Char"/>
    <w:basedOn w:val="DefaultParagraphFont"/>
    <w:link w:val="Heading9"/>
    <w:uiPriority w:val="9"/>
    <w:semiHidden/>
    <w:rsid w:val="00A06F5E"/>
    <w:rPr>
      <w:rFonts w:asciiTheme="majorHAnsi" w:hAnsiTheme="majorHAnsi" w:eastAsiaTheme="majorEastAsia" w:cstheme="majorBidi"/>
      <w:i/>
      <w:iCs/>
      <w:color w:val="272727" w:themeColor="text1" w:themeTint="D8"/>
      <w:sz w:val="21"/>
      <w:szCs w:val="21"/>
      <w:lang w:val="en-GB"/>
    </w:rPr>
  </w:style>
  <w:style w:type="paragraph" w:styleId="ETSHEADER2" w:customStyle="1">
    <w:name w:val="ETS_HEADER_2"/>
    <w:basedOn w:val="Heading2"/>
    <w:next w:val="Normal"/>
    <w:link w:val="ETSHEADER2CharChar"/>
    <w:autoRedefine/>
    <w:qFormat/>
    <w:rsid w:val="00A06F5E"/>
    <w:pPr>
      <w:keepLines w:val="0"/>
      <w:spacing w:before="240" w:after="60" w:line="240" w:lineRule="auto"/>
      <w:ind w:left="1276" w:hanging="1276"/>
    </w:pPr>
    <w:rPr>
      <w:rFonts w:ascii="Arial" w:hAnsi="Arial" w:eastAsia="Times New Roman" w:cs="Arial"/>
      <w:bCs/>
      <w:i/>
      <w:iCs/>
      <w:color w:val="auto"/>
      <w:sz w:val="32"/>
      <w:szCs w:val="32"/>
    </w:rPr>
  </w:style>
  <w:style w:type="character" w:styleId="ETSHEADER2CharChar" w:customStyle="1">
    <w:name w:val="ETS_HEADER_2 Char Char"/>
    <w:link w:val="ETSHEADER2"/>
    <w:rsid w:val="00A06F5E"/>
    <w:rPr>
      <w:rFonts w:ascii="Arial" w:hAnsi="Arial" w:eastAsia="Times New Roman" w:cs="Arial"/>
      <w:bCs/>
      <w:i/>
      <w:iCs/>
      <w:sz w:val="32"/>
      <w:szCs w:val="32"/>
      <w:lang w:val="en-GB"/>
    </w:rPr>
  </w:style>
  <w:style w:type="paragraph" w:styleId="ETSNORMAL10pt" w:customStyle="1">
    <w:name w:val="ETS_NORMAL_10pt"/>
    <w:basedOn w:val="Normal"/>
    <w:link w:val="ETSNORMAL10ptChar"/>
    <w:qFormat/>
    <w:rsid w:val="00A06F5E"/>
    <w:pPr>
      <w:spacing w:after="0" w:line="240" w:lineRule="auto"/>
      <w:ind w:left="-993"/>
    </w:pPr>
    <w:rPr>
      <w:rFonts w:ascii="Arial" w:hAnsi="Arial" w:eastAsia="Times New Roman" w:cs="Times New Roman"/>
      <w:sz w:val="20"/>
      <w:szCs w:val="24"/>
    </w:rPr>
  </w:style>
  <w:style w:type="character" w:styleId="ETSNORMAL10ptChar" w:customStyle="1">
    <w:name w:val="ETS_NORMAL_10pt Char"/>
    <w:link w:val="ETSNORMAL10pt"/>
    <w:rsid w:val="00A06F5E"/>
    <w:rPr>
      <w:rFonts w:ascii="Arial" w:hAnsi="Arial" w:eastAsia="Times New Roman" w:cs="Times New Roman"/>
      <w:sz w:val="20"/>
      <w:szCs w:val="24"/>
    </w:rPr>
  </w:style>
  <w:style w:type="paragraph" w:styleId="ETSNORMAL12pt" w:customStyle="1">
    <w:name w:val="ETS_NORMAL_12pt"/>
    <w:basedOn w:val="Normal"/>
    <w:link w:val="ETSNORMAL12ptCharChar"/>
    <w:qFormat/>
    <w:rsid w:val="00A06F5E"/>
    <w:pPr>
      <w:shd w:val="clear" w:color="auto" w:fill="FFFFFF"/>
      <w:spacing w:after="0" w:line="240" w:lineRule="auto"/>
      <w:ind w:left="-567"/>
      <w:jc w:val="both"/>
    </w:pPr>
    <w:rPr>
      <w:rFonts w:ascii="Arial" w:hAnsi="Arial" w:eastAsia="Times New Roman" w:cs="Times New Roman"/>
      <w:snapToGrid w:val="0"/>
      <w:sz w:val="24"/>
      <w:szCs w:val="24"/>
      <w:lang w:val="en-GB"/>
    </w:rPr>
  </w:style>
  <w:style w:type="character" w:styleId="ETSNORMAL12ptCharChar" w:customStyle="1">
    <w:name w:val="ETS_NORMAL_12pt Char Char"/>
    <w:link w:val="ETSNORMAL12pt"/>
    <w:rsid w:val="00A06F5E"/>
    <w:rPr>
      <w:rFonts w:ascii="Arial" w:hAnsi="Arial" w:eastAsia="Times New Roman" w:cs="Times New Roman"/>
      <w:snapToGrid w:val="0"/>
      <w:sz w:val="24"/>
      <w:szCs w:val="24"/>
      <w:shd w:val="clear" w:color="auto" w:fill="FFFFFF"/>
      <w:lang w:val="en-GB"/>
    </w:rPr>
  </w:style>
  <w:style w:type="paragraph" w:styleId="ETSNORMAL8pt" w:customStyle="1">
    <w:name w:val="ETS_NORMAL_8pt"/>
    <w:basedOn w:val="Normal"/>
    <w:qFormat/>
    <w:rsid w:val="00A06F5E"/>
    <w:pPr>
      <w:spacing w:after="0" w:line="240" w:lineRule="auto"/>
    </w:pPr>
    <w:rPr>
      <w:rFonts w:ascii="Arial" w:hAnsi="Arial" w:eastAsia="Times New Roman" w:cs="Times New Roman"/>
      <w:sz w:val="16"/>
      <w:szCs w:val="24"/>
      <w:lang w:val="en-GB"/>
    </w:rPr>
  </w:style>
  <w:style w:type="paragraph" w:styleId="TOCHeading">
    <w:name w:val="TOC Heading"/>
    <w:basedOn w:val="Heading1"/>
    <w:next w:val="Normal"/>
    <w:uiPriority w:val="39"/>
    <w:unhideWhenUsed/>
    <w:qFormat/>
    <w:rsid w:val="00A06F5E"/>
    <w:pPr>
      <w:numPr>
        <w:numId w:val="0"/>
      </w:numPr>
      <w:outlineLvl w:val="9"/>
    </w:pPr>
    <w:rPr>
      <w:lang w:val="en-US"/>
    </w:rPr>
  </w:style>
  <w:style w:type="paragraph" w:styleId="TOC1">
    <w:name w:val="toc 1"/>
    <w:basedOn w:val="Normal"/>
    <w:next w:val="Normal"/>
    <w:autoRedefine/>
    <w:uiPriority w:val="39"/>
    <w:unhideWhenUsed/>
    <w:rsid w:val="00850F4B"/>
    <w:pPr>
      <w:tabs>
        <w:tab w:val="left" w:pos="440"/>
        <w:tab w:val="right" w:leader="dot" w:pos="9016"/>
      </w:tabs>
      <w:spacing w:after="100" w:line="259" w:lineRule="auto"/>
    </w:pPr>
    <w:rPr>
      <w:rFonts w:eastAsiaTheme="minorHAnsi"/>
      <w:lang w:val="en-GB"/>
    </w:rPr>
  </w:style>
  <w:style w:type="paragraph" w:styleId="TOC2">
    <w:name w:val="toc 2"/>
    <w:basedOn w:val="Normal"/>
    <w:next w:val="Normal"/>
    <w:autoRedefine/>
    <w:uiPriority w:val="39"/>
    <w:unhideWhenUsed/>
    <w:rsid w:val="00B17405"/>
    <w:pPr>
      <w:tabs>
        <w:tab w:val="left" w:pos="880"/>
        <w:tab w:val="right" w:leader="dot" w:pos="9016"/>
      </w:tabs>
      <w:spacing w:after="100" w:line="259" w:lineRule="auto"/>
      <w:ind w:left="220"/>
    </w:pPr>
    <w:rPr>
      <w:rFonts w:eastAsiaTheme="minorHAnsi"/>
      <w:lang w:val="en-GB"/>
    </w:rPr>
  </w:style>
  <w:style w:type="character" w:styleId="Hyperlink">
    <w:name w:val="Hyperlink"/>
    <w:basedOn w:val="DefaultParagraphFont"/>
    <w:uiPriority w:val="99"/>
    <w:unhideWhenUsed/>
    <w:rsid w:val="00A06F5E"/>
    <w:rPr>
      <w:color w:val="0000FF" w:themeColor="hyperlink"/>
      <w:u w:val="single"/>
    </w:rPr>
  </w:style>
  <w:style w:type="paragraph" w:styleId="TOC3">
    <w:name w:val="toc 3"/>
    <w:basedOn w:val="Normal"/>
    <w:next w:val="Normal"/>
    <w:autoRedefine/>
    <w:uiPriority w:val="39"/>
    <w:unhideWhenUsed/>
    <w:rsid w:val="00B17405"/>
    <w:pPr>
      <w:tabs>
        <w:tab w:val="left" w:pos="1320"/>
        <w:tab w:val="right" w:leader="dot" w:pos="9016"/>
      </w:tabs>
      <w:spacing w:after="100" w:line="259" w:lineRule="auto"/>
      <w:ind w:left="440"/>
    </w:pPr>
    <w:rPr>
      <w:rFonts w:eastAsiaTheme="minorHAnsi"/>
      <w:lang w:val="en-GB"/>
    </w:rPr>
  </w:style>
  <w:style w:type="table" w:styleId="GridTable4-Accent31" w:customStyle="1">
    <w:name w:val="Grid Table 4 - Accent 31"/>
    <w:basedOn w:val="TableNormal"/>
    <w:uiPriority w:val="49"/>
    <w:rsid w:val="00A06F5E"/>
    <w:pPr>
      <w:spacing w:after="0" w:line="240" w:lineRule="auto"/>
    </w:pPr>
    <w:rPr>
      <w:lang w:val="en-GB"/>
    </w:rPr>
    <w:tblPr>
      <w:tblStyleRowBandSize w:val="1"/>
      <w:tblStyleColBandSize w:val="1"/>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color w:val="FFFFFF" w:themeColor="background1"/>
      </w:rPr>
      <w:tbl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blPr/>
      <w:tcPr>
        <w:tcBorders>
          <w:top w:val="double" w:color="9BBB59" w:themeColor="accent3" w:sz="4" w:space="0"/>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1" w:customStyle="1">
    <w:name w:val="Grid Table 41"/>
    <w:basedOn w:val="TableNormal"/>
    <w:uiPriority w:val="49"/>
    <w:rsid w:val="00A06F5E"/>
    <w:pPr>
      <w:spacing w:after="0" w:line="240" w:lineRule="auto"/>
    </w:pPr>
    <w:rPr>
      <w:lang w:val="en-GB"/>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2" w:customStyle="1">
    <w:name w:val="Grid Table 42"/>
    <w:basedOn w:val="TableNormal"/>
    <w:uiPriority w:val="49"/>
    <w:rsid w:val="00A06F5E"/>
    <w:pPr>
      <w:spacing w:after="0" w:line="240" w:lineRule="auto"/>
    </w:pPr>
    <w:rPr>
      <w:lang w:val="en-GB"/>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06F5E"/>
    <w:rPr>
      <w:color w:val="800080" w:themeColor="followedHyperlink"/>
      <w:u w:val="single"/>
    </w:rPr>
  </w:style>
  <w:style w:type="table" w:styleId="GridTable421" w:customStyle="1">
    <w:name w:val="Grid Table 421"/>
    <w:basedOn w:val="TableNormal"/>
    <w:uiPriority w:val="49"/>
    <w:rsid w:val="00A06F5E"/>
    <w:pPr>
      <w:spacing w:after="0" w:line="240" w:lineRule="auto"/>
    </w:pPr>
    <w:rPr>
      <w:lang w:val="en-GB"/>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A06F5E"/>
    <w:pPr>
      <w:spacing w:after="0" w:line="240" w:lineRule="auto"/>
    </w:pPr>
    <w:rPr>
      <w:lang w:val="en-GB"/>
    </w:rPr>
  </w:style>
  <w:style w:type="table" w:styleId="GridTable5Dark-Accent3">
    <w:name w:val="Grid Table 5 Dark Accent 3"/>
    <w:basedOn w:val="TableNormal"/>
    <w:uiPriority w:val="50"/>
    <w:rsid w:val="00A06F5E"/>
    <w:pPr>
      <w:spacing w:after="0" w:line="240" w:lineRule="auto"/>
    </w:pPr>
    <w:rPr>
      <w:lang w:val="en-GB"/>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1D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PlaceholderText">
    <w:name w:val="Placeholder Text"/>
    <w:basedOn w:val="DefaultParagraphFont"/>
    <w:uiPriority w:val="99"/>
    <w:semiHidden/>
    <w:rsid w:val="00A06F5E"/>
    <w:rPr>
      <w:color w:val="808080"/>
    </w:rPr>
  </w:style>
  <w:style w:type="table" w:styleId="GridTable5Dark-Accent31" w:customStyle="1">
    <w:name w:val="Grid Table 5 Dark - Accent 31"/>
    <w:basedOn w:val="TableNormal"/>
    <w:uiPriority w:val="50"/>
    <w:rsid w:val="00A06F5E"/>
    <w:pPr>
      <w:spacing w:after="0" w:line="240" w:lineRule="auto"/>
    </w:pPr>
    <w:rPr>
      <w:lang w:val="en-GB"/>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1D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EndnoteText">
    <w:name w:val="endnote text"/>
    <w:basedOn w:val="Normal"/>
    <w:link w:val="EndnoteTextChar"/>
    <w:uiPriority w:val="99"/>
    <w:semiHidden/>
    <w:unhideWhenUsed/>
    <w:rsid w:val="00A06F5E"/>
    <w:pPr>
      <w:spacing w:after="0" w:line="240" w:lineRule="auto"/>
    </w:pPr>
    <w:rPr>
      <w:sz w:val="20"/>
      <w:szCs w:val="20"/>
      <w:lang w:val="en-GB"/>
    </w:rPr>
  </w:style>
  <w:style w:type="character" w:styleId="EndnoteTextChar" w:customStyle="1">
    <w:name w:val="Endnote Text Char"/>
    <w:basedOn w:val="DefaultParagraphFont"/>
    <w:link w:val="EndnoteText"/>
    <w:uiPriority w:val="99"/>
    <w:semiHidden/>
    <w:rsid w:val="00A06F5E"/>
    <w:rPr>
      <w:rFonts w:eastAsiaTheme="minorEastAsia"/>
      <w:sz w:val="20"/>
      <w:szCs w:val="20"/>
      <w:lang w:val="en-GB"/>
    </w:rPr>
  </w:style>
  <w:style w:type="character" w:styleId="EndnoteReference">
    <w:name w:val="endnote reference"/>
    <w:basedOn w:val="DefaultParagraphFont"/>
    <w:uiPriority w:val="99"/>
    <w:semiHidden/>
    <w:unhideWhenUsed/>
    <w:rsid w:val="00A06F5E"/>
    <w:rPr>
      <w:vertAlign w:val="superscript"/>
    </w:rPr>
  </w:style>
  <w:style w:type="table" w:styleId="GridTable5Dark-Accent5">
    <w:name w:val="Grid Table 5 Dark Accent 5"/>
    <w:basedOn w:val="TableNormal"/>
    <w:uiPriority w:val="50"/>
    <w:rsid w:val="00A06F5E"/>
    <w:pPr>
      <w:spacing w:after="0" w:line="240" w:lineRule="auto"/>
    </w:pPr>
    <w:rPr>
      <w:lang w:val="en-GB"/>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AEEF3"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Mention1" w:customStyle="1">
    <w:name w:val="Mention1"/>
    <w:basedOn w:val="DefaultParagraphFont"/>
    <w:uiPriority w:val="99"/>
    <w:semiHidden/>
    <w:unhideWhenUsed/>
    <w:rsid w:val="00A06F5E"/>
    <w:rPr>
      <w:color w:val="2B579A"/>
      <w:shd w:val="clear" w:color="auto" w:fill="E6E6E6"/>
    </w:rPr>
  </w:style>
  <w:style w:type="character" w:styleId="UnresolvedMention1" w:customStyle="1">
    <w:name w:val="Unresolved Mention1"/>
    <w:basedOn w:val="DefaultParagraphFont"/>
    <w:uiPriority w:val="99"/>
    <w:semiHidden/>
    <w:unhideWhenUsed/>
    <w:rsid w:val="00A06F5E"/>
    <w:rPr>
      <w:color w:val="808080"/>
      <w:shd w:val="clear" w:color="auto" w:fill="E6E6E6"/>
    </w:rPr>
  </w:style>
  <w:style w:type="paragraph" w:styleId="NormalWeb">
    <w:name w:val="Normal (Web)"/>
    <w:basedOn w:val="Normal"/>
    <w:uiPriority w:val="99"/>
    <w:unhideWhenUsed/>
    <w:rsid w:val="00A06F5E"/>
    <w:pPr>
      <w:spacing w:before="100" w:beforeAutospacing="1" w:after="100" w:afterAutospacing="1" w:line="240" w:lineRule="auto"/>
    </w:pPr>
    <w:rPr>
      <w:rFonts w:ascii="Times New Roman" w:hAnsi="Times New Roman" w:eastAsia="Times New Roman" w:cs="Times New Roman"/>
      <w:sz w:val="24"/>
      <w:szCs w:val="24"/>
    </w:rPr>
  </w:style>
  <w:style w:type="character" w:styleId="highlight" w:customStyle="1">
    <w:name w:val="highlight"/>
    <w:basedOn w:val="DefaultParagraphFont"/>
    <w:rsid w:val="00A06F5E"/>
  </w:style>
  <w:style w:type="table" w:styleId="GridTable4-Accent1">
    <w:name w:val="Grid Table 4 Accent 1"/>
    <w:basedOn w:val="TableNormal"/>
    <w:uiPriority w:val="49"/>
    <w:rsid w:val="00A06F5E"/>
    <w:pPr>
      <w:spacing w:after="0" w:line="240" w:lineRule="auto"/>
    </w:pPr>
    <w:rPr>
      <w:lang w:val="en-GB"/>
    </w:r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uiPriority w:val="1"/>
    <w:qFormat/>
    <w:rsid w:val="00A06F5E"/>
    <w:pPr>
      <w:spacing w:after="0" w:line="240" w:lineRule="auto"/>
    </w:pPr>
  </w:style>
  <w:style w:type="table" w:styleId="GridTable1Light-Accent5">
    <w:name w:val="Grid Table 1 Light Accent 5"/>
    <w:basedOn w:val="TableNormal"/>
    <w:uiPriority w:val="46"/>
    <w:rsid w:val="00A06F5E"/>
    <w:pPr>
      <w:spacing w:after="0" w:line="240" w:lineRule="auto"/>
    </w:pPr>
    <w:rPr>
      <w:lang w:val="en-GB"/>
    </w:rPr>
    <w:tblPr>
      <w:tblStyleRowBandSize w:val="1"/>
      <w:tblStyleColBandSize w:val="1"/>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blStylePr w:type="firstRow">
      <w:rPr>
        <w:b/>
        <w:bCs/>
      </w:rPr>
      <w:tblPr/>
      <w:tcPr>
        <w:tcBorders>
          <w:bottom w:val="single" w:color="92CDDC" w:themeColor="accent5" w:themeTint="99" w:sz="12" w:space="0"/>
        </w:tcBorders>
      </w:tcPr>
    </w:tblStylePr>
    <w:tblStylePr w:type="lastRow">
      <w:rPr>
        <w:b/>
        <w:bCs/>
      </w:rPr>
      <w:tblPr/>
      <w:tcPr>
        <w:tcBorders>
          <w:top w:val="double" w:color="92CDDC" w:themeColor="accent5" w:themeTint="99" w:sz="2" w:space="0"/>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A06F5E"/>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IntenseReference">
    <w:name w:val="Intense Reference"/>
    <w:basedOn w:val="DefaultParagraphFont"/>
    <w:uiPriority w:val="32"/>
    <w:qFormat/>
    <w:rsid w:val="00A06F5E"/>
    <w:rPr>
      <w:b/>
      <w:bCs/>
      <w:smallCaps/>
      <w:color w:val="4F81BD" w:themeColor="accent1"/>
      <w:spacing w:val="5"/>
    </w:rPr>
  </w:style>
  <w:style w:type="paragraph" w:styleId="xmsonormal" w:customStyle="1">
    <w:name w:val="x_msonormal"/>
    <w:basedOn w:val="Normal"/>
    <w:rsid w:val="00A06F5E"/>
    <w:pPr>
      <w:spacing w:after="0" w:line="240" w:lineRule="auto"/>
    </w:pPr>
    <w:rPr>
      <w:rFonts w:ascii="Calibri" w:hAnsi="Calibri" w:cs="Calibri"/>
      <w:lang w:val="en-GB" w:eastAsia="en-GB"/>
    </w:rPr>
  </w:style>
  <w:style w:type="character" w:styleId="eop" w:customStyle="1">
    <w:name w:val="eop"/>
    <w:basedOn w:val="DefaultParagraphFont"/>
    <w:rsid w:val="00A06F5E"/>
  </w:style>
  <w:style w:type="character" w:styleId="spellingerror" w:customStyle="1">
    <w:name w:val="spellingerror"/>
    <w:basedOn w:val="DefaultParagraphFont"/>
    <w:rsid w:val="00A06F5E"/>
  </w:style>
  <w:style w:type="character" w:styleId="scxw45084214" w:customStyle="1">
    <w:name w:val="scxw45084214"/>
    <w:basedOn w:val="DefaultParagraphFont"/>
    <w:rsid w:val="00A06F5E"/>
  </w:style>
  <w:style w:type="character" w:styleId="scxw124562383" w:customStyle="1">
    <w:name w:val="scxw124562383"/>
    <w:basedOn w:val="DefaultParagraphFont"/>
    <w:rsid w:val="00A06F5E"/>
  </w:style>
  <w:style w:type="character" w:styleId="scxw231787790" w:customStyle="1">
    <w:name w:val="scxw231787790"/>
    <w:basedOn w:val="DefaultParagraphFont"/>
    <w:rsid w:val="00A06F5E"/>
  </w:style>
  <w:style w:type="character" w:styleId="scxw59810726" w:customStyle="1">
    <w:name w:val="scxw59810726"/>
    <w:basedOn w:val="DefaultParagraphFont"/>
    <w:rsid w:val="00A06F5E"/>
  </w:style>
  <w:style w:type="table" w:styleId="GridTable6Colorful-Accent1">
    <w:name w:val="Grid Table 6 Colorful Accent 1"/>
    <w:basedOn w:val="TableNormal"/>
    <w:uiPriority w:val="51"/>
    <w:rsid w:val="00A06F5E"/>
    <w:pPr>
      <w:spacing w:after="0" w:line="240" w:lineRule="auto"/>
    </w:pPr>
    <w:rPr>
      <w:color w:val="365F91" w:themeColor="accent1" w:themeShade="BF"/>
      <w:lang w:val="en-GB"/>
    </w:r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rPr>
      <w:tblPr/>
      <w:tcPr>
        <w:tcBorders>
          <w:bottom w:val="single" w:color="95B3D7" w:themeColor="accent1" w:themeTint="99" w:sz="12" w:space="0"/>
        </w:tcBorders>
      </w:tcPr>
    </w:tblStylePr>
    <w:tblStylePr w:type="lastRow">
      <w:rPr>
        <w:b/>
        <w:bCs/>
      </w:rPr>
      <w:tblPr/>
      <w:tcPr>
        <w:tcBorders>
          <w:top w:val="double" w:color="95B3D7" w:themeColor="accent1" w:themeTint="99"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A06F5E"/>
    <w:pPr>
      <w:spacing w:after="0" w:line="240" w:lineRule="auto"/>
    </w:pPr>
    <w:rPr>
      <w:color w:val="31849B" w:themeColor="accent5" w:themeShade="BF"/>
      <w:lang w:val="en-GB"/>
    </w:rPr>
    <w:tblPr>
      <w:tblStyleRowBandSize w:val="1"/>
      <w:tblStyleColBandSize w:val="1"/>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blPr/>
      <w:tcPr>
        <w:tcBorders>
          <w:bottom w:val="single" w:color="92CDDC" w:themeColor="accent5" w:themeTint="99" w:sz="12" w:space="0"/>
        </w:tcBorders>
      </w:tcPr>
    </w:tblStylePr>
    <w:tblStylePr w:type="lastRow">
      <w:rPr>
        <w:b/>
        <w:bCs/>
      </w:rPr>
      <w:tblPr/>
      <w:tcPr>
        <w:tcBorders>
          <w:top w:val="double" w:color="92CDDC" w:themeColor="accent5" w:themeTint="99" w:sz="4" w:space="0"/>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A06F5E"/>
    <w:pPr>
      <w:spacing w:after="0" w:line="240" w:lineRule="auto"/>
    </w:pPr>
    <w:rPr>
      <w:lang w:val="en-GB"/>
    </w:rPr>
    <w:tblPr>
      <w:tblStyleRowBandSize w:val="1"/>
      <w:tblStyleColBandSize w:val="1"/>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color w:val="FFFFFF" w:themeColor="background1"/>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blPr/>
      <w:tcPr>
        <w:tcBorders>
          <w:top w:val="double" w:color="4BACC6" w:themeColor="accent5" w:sz="4" w:space="0"/>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UnresolvedMention2" w:customStyle="1">
    <w:name w:val="Unresolved Mention2"/>
    <w:basedOn w:val="DefaultParagraphFont"/>
    <w:uiPriority w:val="99"/>
    <w:unhideWhenUsed/>
    <w:rsid w:val="00A06F5E"/>
    <w:rPr>
      <w:color w:val="605E5C"/>
      <w:shd w:val="clear" w:color="auto" w:fill="E1DFDD"/>
    </w:rPr>
  </w:style>
  <w:style w:type="paragraph" w:styleId="Caption">
    <w:name w:val="caption"/>
    <w:basedOn w:val="Normal"/>
    <w:next w:val="Normal"/>
    <w:uiPriority w:val="35"/>
    <w:unhideWhenUsed/>
    <w:qFormat/>
    <w:rsid w:val="002D6387"/>
    <w:pPr>
      <w:spacing w:line="240" w:lineRule="auto"/>
    </w:pPr>
    <w:rPr>
      <w:rFonts w:eastAsiaTheme="minorHAnsi"/>
      <w:i/>
      <w:iCs/>
      <w:color w:val="1F497D" w:themeColor="text2"/>
      <w:sz w:val="18"/>
      <w:szCs w:val="18"/>
      <w:lang w:val="en-GB"/>
    </w:rPr>
  </w:style>
  <w:style w:type="character" w:styleId="Strong">
    <w:name w:val="Strong"/>
    <w:basedOn w:val="DefaultParagraphFont"/>
    <w:uiPriority w:val="22"/>
    <w:qFormat/>
    <w:rsid w:val="00A06F5E"/>
    <w:rPr>
      <w:b/>
      <w:bCs/>
    </w:rPr>
  </w:style>
  <w:style w:type="character" w:styleId="hgkelc" w:customStyle="1">
    <w:name w:val="hgkelc"/>
    <w:basedOn w:val="DefaultParagraphFont"/>
    <w:rsid w:val="00A06F5E"/>
  </w:style>
  <w:style w:type="character" w:styleId="acopre" w:customStyle="1">
    <w:name w:val="acopre"/>
    <w:basedOn w:val="DefaultParagraphFont"/>
    <w:rsid w:val="00A06F5E"/>
  </w:style>
  <w:style w:type="paragraph" w:styleId="TableText" w:customStyle="1">
    <w:name w:val="Table Text"/>
    <w:basedOn w:val="Normal"/>
    <w:link w:val="TableTextChar"/>
    <w:qFormat/>
    <w:rsid w:val="00850047"/>
    <w:pPr>
      <w:keepNext/>
      <w:keepLines/>
      <w:spacing w:before="60" w:after="0" w:line="240" w:lineRule="auto"/>
    </w:pPr>
    <w:rPr>
      <w:bCs/>
      <w:sz w:val="18"/>
      <w:szCs w:val="21"/>
      <w:lang w:eastAsia="ja-JP"/>
    </w:rPr>
  </w:style>
  <w:style w:type="character" w:styleId="TableTextChar" w:customStyle="1">
    <w:name w:val="Table Text Char"/>
    <w:basedOn w:val="DefaultParagraphFont"/>
    <w:link w:val="TableText"/>
    <w:rsid w:val="00A06F5E"/>
    <w:rPr>
      <w:bCs/>
      <w:sz w:val="18"/>
      <w:szCs w:val="21"/>
      <w:lang w:eastAsia="ja-JP"/>
    </w:rPr>
  </w:style>
  <w:style w:type="character" w:styleId="Mention2" w:customStyle="1">
    <w:name w:val="Mention2"/>
    <w:basedOn w:val="DefaultParagraphFont"/>
    <w:uiPriority w:val="99"/>
    <w:unhideWhenUsed/>
    <w:rsid w:val="00A06F5E"/>
    <w:rPr>
      <w:color w:val="2B579A"/>
      <w:shd w:val="clear" w:color="auto" w:fill="E1DFDD"/>
    </w:rPr>
  </w:style>
  <w:style w:type="character" w:styleId="UnresolvedMention3" w:customStyle="1">
    <w:name w:val="Unresolved Mention3"/>
    <w:basedOn w:val="DefaultParagraphFont"/>
    <w:uiPriority w:val="99"/>
    <w:unhideWhenUsed/>
    <w:rsid w:val="00F73E49"/>
    <w:rPr>
      <w:color w:val="605E5C"/>
      <w:shd w:val="clear" w:color="auto" w:fill="E1DFDD"/>
    </w:rPr>
  </w:style>
  <w:style w:type="character" w:styleId="Mention3" w:customStyle="1">
    <w:name w:val="Mention3"/>
    <w:basedOn w:val="DefaultParagraphFont"/>
    <w:uiPriority w:val="99"/>
    <w:unhideWhenUsed/>
    <w:rsid w:val="00F73E49"/>
    <w:rPr>
      <w:color w:val="2B579A"/>
      <w:shd w:val="clear" w:color="auto" w:fill="E1DFDD"/>
    </w:rPr>
  </w:style>
  <w:style w:type="character" w:styleId="UnresolvedMention">
    <w:name w:val="Unresolved Mention"/>
    <w:basedOn w:val="DefaultParagraphFont"/>
    <w:uiPriority w:val="99"/>
    <w:unhideWhenUsed/>
    <w:rsid w:val="003D3315"/>
    <w:rPr>
      <w:color w:val="605E5C"/>
      <w:shd w:val="clear" w:color="auto" w:fill="E1DFDD"/>
    </w:rPr>
  </w:style>
  <w:style w:type="character" w:styleId="Mention">
    <w:name w:val="Mention"/>
    <w:basedOn w:val="DefaultParagraphFont"/>
    <w:uiPriority w:val="99"/>
    <w:unhideWhenUsed/>
    <w:rsid w:val="00AB4C9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0313">
      <w:bodyDiv w:val="1"/>
      <w:marLeft w:val="0"/>
      <w:marRight w:val="0"/>
      <w:marTop w:val="0"/>
      <w:marBottom w:val="0"/>
      <w:divBdr>
        <w:top w:val="none" w:sz="0" w:space="0" w:color="auto"/>
        <w:left w:val="none" w:sz="0" w:space="0" w:color="auto"/>
        <w:bottom w:val="none" w:sz="0" w:space="0" w:color="auto"/>
        <w:right w:val="none" w:sz="0" w:space="0" w:color="auto"/>
      </w:divBdr>
      <w:divsChild>
        <w:div w:id="1333218893">
          <w:marLeft w:val="0"/>
          <w:marRight w:val="0"/>
          <w:marTop w:val="0"/>
          <w:marBottom w:val="0"/>
          <w:divBdr>
            <w:top w:val="none" w:sz="0" w:space="0" w:color="auto"/>
            <w:left w:val="none" w:sz="0" w:space="0" w:color="auto"/>
            <w:bottom w:val="none" w:sz="0" w:space="0" w:color="auto"/>
            <w:right w:val="none" w:sz="0" w:space="0" w:color="auto"/>
          </w:divBdr>
          <w:divsChild>
            <w:div w:id="68382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335">
      <w:bodyDiv w:val="1"/>
      <w:marLeft w:val="0"/>
      <w:marRight w:val="0"/>
      <w:marTop w:val="0"/>
      <w:marBottom w:val="0"/>
      <w:divBdr>
        <w:top w:val="none" w:sz="0" w:space="0" w:color="auto"/>
        <w:left w:val="none" w:sz="0" w:space="0" w:color="auto"/>
        <w:bottom w:val="none" w:sz="0" w:space="0" w:color="auto"/>
        <w:right w:val="none" w:sz="0" w:space="0" w:color="auto"/>
      </w:divBdr>
    </w:div>
    <w:div w:id="20668994">
      <w:bodyDiv w:val="1"/>
      <w:marLeft w:val="0"/>
      <w:marRight w:val="0"/>
      <w:marTop w:val="0"/>
      <w:marBottom w:val="0"/>
      <w:divBdr>
        <w:top w:val="none" w:sz="0" w:space="0" w:color="auto"/>
        <w:left w:val="none" w:sz="0" w:space="0" w:color="auto"/>
        <w:bottom w:val="none" w:sz="0" w:space="0" w:color="auto"/>
        <w:right w:val="none" w:sz="0" w:space="0" w:color="auto"/>
      </w:divBdr>
    </w:div>
    <w:div w:id="24063460">
      <w:bodyDiv w:val="1"/>
      <w:marLeft w:val="0"/>
      <w:marRight w:val="0"/>
      <w:marTop w:val="0"/>
      <w:marBottom w:val="0"/>
      <w:divBdr>
        <w:top w:val="none" w:sz="0" w:space="0" w:color="auto"/>
        <w:left w:val="none" w:sz="0" w:space="0" w:color="auto"/>
        <w:bottom w:val="none" w:sz="0" w:space="0" w:color="auto"/>
        <w:right w:val="none" w:sz="0" w:space="0" w:color="auto"/>
      </w:divBdr>
    </w:div>
    <w:div w:id="39400009">
      <w:bodyDiv w:val="1"/>
      <w:marLeft w:val="0"/>
      <w:marRight w:val="0"/>
      <w:marTop w:val="0"/>
      <w:marBottom w:val="0"/>
      <w:divBdr>
        <w:top w:val="none" w:sz="0" w:space="0" w:color="auto"/>
        <w:left w:val="none" w:sz="0" w:space="0" w:color="auto"/>
        <w:bottom w:val="none" w:sz="0" w:space="0" w:color="auto"/>
        <w:right w:val="none" w:sz="0" w:space="0" w:color="auto"/>
      </w:divBdr>
    </w:div>
    <w:div w:id="53892602">
      <w:bodyDiv w:val="1"/>
      <w:marLeft w:val="0"/>
      <w:marRight w:val="0"/>
      <w:marTop w:val="0"/>
      <w:marBottom w:val="0"/>
      <w:divBdr>
        <w:top w:val="none" w:sz="0" w:space="0" w:color="auto"/>
        <w:left w:val="none" w:sz="0" w:space="0" w:color="auto"/>
        <w:bottom w:val="none" w:sz="0" w:space="0" w:color="auto"/>
        <w:right w:val="none" w:sz="0" w:space="0" w:color="auto"/>
      </w:divBdr>
    </w:div>
    <w:div w:id="75447347">
      <w:bodyDiv w:val="1"/>
      <w:marLeft w:val="0"/>
      <w:marRight w:val="0"/>
      <w:marTop w:val="0"/>
      <w:marBottom w:val="0"/>
      <w:divBdr>
        <w:top w:val="none" w:sz="0" w:space="0" w:color="auto"/>
        <w:left w:val="none" w:sz="0" w:space="0" w:color="auto"/>
        <w:bottom w:val="none" w:sz="0" w:space="0" w:color="auto"/>
        <w:right w:val="none" w:sz="0" w:space="0" w:color="auto"/>
      </w:divBdr>
    </w:div>
    <w:div w:id="82725325">
      <w:bodyDiv w:val="1"/>
      <w:marLeft w:val="0"/>
      <w:marRight w:val="0"/>
      <w:marTop w:val="0"/>
      <w:marBottom w:val="0"/>
      <w:divBdr>
        <w:top w:val="none" w:sz="0" w:space="0" w:color="auto"/>
        <w:left w:val="none" w:sz="0" w:space="0" w:color="auto"/>
        <w:bottom w:val="none" w:sz="0" w:space="0" w:color="auto"/>
        <w:right w:val="none" w:sz="0" w:space="0" w:color="auto"/>
      </w:divBdr>
    </w:div>
    <w:div w:id="87702221">
      <w:bodyDiv w:val="1"/>
      <w:marLeft w:val="0"/>
      <w:marRight w:val="0"/>
      <w:marTop w:val="0"/>
      <w:marBottom w:val="0"/>
      <w:divBdr>
        <w:top w:val="none" w:sz="0" w:space="0" w:color="auto"/>
        <w:left w:val="none" w:sz="0" w:space="0" w:color="auto"/>
        <w:bottom w:val="none" w:sz="0" w:space="0" w:color="auto"/>
        <w:right w:val="none" w:sz="0" w:space="0" w:color="auto"/>
      </w:divBdr>
      <w:divsChild>
        <w:div w:id="1717044992">
          <w:marLeft w:val="0"/>
          <w:marRight w:val="0"/>
          <w:marTop w:val="0"/>
          <w:marBottom w:val="0"/>
          <w:divBdr>
            <w:top w:val="none" w:sz="0" w:space="0" w:color="auto"/>
            <w:left w:val="none" w:sz="0" w:space="0" w:color="auto"/>
            <w:bottom w:val="none" w:sz="0" w:space="0" w:color="auto"/>
            <w:right w:val="none" w:sz="0" w:space="0" w:color="auto"/>
          </w:divBdr>
          <w:divsChild>
            <w:div w:id="1386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7073">
      <w:bodyDiv w:val="1"/>
      <w:marLeft w:val="0"/>
      <w:marRight w:val="0"/>
      <w:marTop w:val="0"/>
      <w:marBottom w:val="0"/>
      <w:divBdr>
        <w:top w:val="none" w:sz="0" w:space="0" w:color="auto"/>
        <w:left w:val="none" w:sz="0" w:space="0" w:color="auto"/>
        <w:bottom w:val="none" w:sz="0" w:space="0" w:color="auto"/>
        <w:right w:val="none" w:sz="0" w:space="0" w:color="auto"/>
      </w:divBdr>
    </w:div>
    <w:div w:id="99420149">
      <w:bodyDiv w:val="1"/>
      <w:marLeft w:val="0"/>
      <w:marRight w:val="0"/>
      <w:marTop w:val="0"/>
      <w:marBottom w:val="0"/>
      <w:divBdr>
        <w:top w:val="none" w:sz="0" w:space="0" w:color="auto"/>
        <w:left w:val="none" w:sz="0" w:space="0" w:color="auto"/>
        <w:bottom w:val="none" w:sz="0" w:space="0" w:color="auto"/>
        <w:right w:val="none" w:sz="0" w:space="0" w:color="auto"/>
      </w:divBdr>
    </w:div>
    <w:div w:id="114834814">
      <w:bodyDiv w:val="1"/>
      <w:marLeft w:val="0"/>
      <w:marRight w:val="0"/>
      <w:marTop w:val="0"/>
      <w:marBottom w:val="0"/>
      <w:divBdr>
        <w:top w:val="none" w:sz="0" w:space="0" w:color="auto"/>
        <w:left w:val="none" w:sz="0" w:space="0" w:color="auto"/>
        <w:bottom w:val="none" w:sz="0" w:space="0" w:color="auto"/>
        <w:right w:val="none" w:sz="0" w:space="0" w:color="auto"/>
      </w:divBdr>
      <w:divsChild>
        <w:div w:id="1225288765">
          <w:marLeft w:val="0"/>
          <w:marRight w:val="0"/>
          <w:marTop w:val="0"/>
          <w:marBottom w:val="0"/>
          <w:divBdr>
            <w:top w:val="none" w:sz="0" w:space="0" w:color="auto"/>
            <w:left w:val="none" w:sz="0" w:space="0" w:color="auto"/>
            <w:bottom w:val="none" w:sz="0" w:space="0" w:color="auto"/>
            <w:right w:val="none" w:sz="0" w:space="0" w:color="auto"/>
          </w:divBdr>
        </w:div>
      </w:divsChild>
    </w:div>
    <w:div w:id="122382854">
      <w:bodyDiv w:val="1"/>
      <w:marLeft w:val="0"/>
      <w:marRight w:val="0"/>
      <w:marTop w:val="0"/>
      <w:marBottom w:val="0"/>
      <w:divBdr>
        <w:top w:val="none" w:sz="0" w:space="0" w:color="auto"/>
        <w:left w:val="none" w:sz="0" w:space="0" w:color="auto"/>
        <w:bottom w:val="none" w:sz="0" w:space="0" w:color="auto"/>
        <w:right w:val="none" w:sz="0" w:space="0" w:color="auto"/>
      </w:divBdr>
    </w:div>
    <w:div w:id="123549568">
      <w:bodyDiv w:val="1"/>
      <w:marLeft w:val="0"/>
      <w:marRight w:val="0"/>
      <w:marTop w:val="0"/>
      <w:marBottom w:val="0"/>
      <w:divBdr>
        <w:top w:val="none" w:sz="0" w:space="0" w:color="auto"/>
        <w:left w:val="none" w:sz="0" w:space="0" w:color="auto"/>
        <w:bottom w:val="none" w:sz="0" w:space="0" w:color="auto"/>
        <w:right w:val="none" w:sz="0" w:space="0" w:color="auto"/>
      </w:divBdr>
    </w:div>
    <w:div w:id="142504741">
      <w:bodyDiv w:val="1"/>
      <w:marLeft w:val="0"/>
      <w:marRight w:val="0"/>
      <w:marTop w:val="0"/>
      <w:marBottom w:val="0"/>
      <w:divBdr>
        <w:top w:val="none" w:sz="0" w:space="0" w:color="auto"/>
        <w:left w:val="none" w:sz="0" w:space="0" w:color="auto"/>
        <w:bottom w:val="none" w:sz="0" w:space="0" w:color="auto"/>
        <w:right w:val="none" w:sz="0" w:space="0" w:color="auto"/>
      </w:divBdr>
    </w:div>
    <w:div w:id="204945888">
      <w:bodyDiv w:val="1"/>
      <w:marLeft w:val="0"/>
      <w:marRight w:val="0"/>
      <w:marTop w:val="0"/>
      <w:marBottom w:val="0"/>
      <w:divBdr>
        <w:top w:val="none" w:sz="0" w:space="0" w:color="auto"/>
        <w:left w:val="none" w:sz="0" w:space="0" w:color="auto"/>
        <w:bottom w:val="none" w:sz="0" w:space="0" w:color="auto"/>
        <w:right w:val="none" w:sz="0" w:space="0" w:color="auto"/>
      </w:divBdr>
    </w:div>
    <w:div w:id="224877321">
      <w:bodyDiv w:val="1"/>
      <w:marLeft w:val="0"/>
      <w:marRight w:val="0"/>
      <w:marTop w:val="0"/>
      <w:marBottom w:val="0"/>
      <w:divBdr>
        <w:top w:val="none" w:sz="0" w:space="0" w:color="auto"/>
        <w:left w:val="none" w:sz="0" w:space="0" w:color="auto"/>
        <w:bottom w:val="none" w:sz="0" w:space="0" w:color="auto"/>
        <w:right w:val="none" w:sz="0" w:space="0" w:color="auto"/>
      </w:divBdr>
    </w:div>
    <w:div w:id="228227171">
      <w:bodyDiv w:val="1"/>
      <w:marLeft w:val="0"/>
      <w:marRight w:val="0"/>
      <w:marTop w:val="0"/>
      <w:marBottom w:val="0"/>
      <w:divBdr>
        <w:top w:val="none" w:sz="0" w:space="0" w:color="auto"/>
        <w:left w:val="none" w:sz="0" w:space="0" w:color="auto"/>
        <w:bottom w:val="none" w:sz="0" w:space="0" w:color="auto"/>
        <w:right w:val="none" w:sz="0" w:space="0" w:color="auto"/>
      </w:divBdr>
      <w:divsChild>
        <w:div w:id="188643750">
          <w:marLeft w:val="0"/>
          <w:marRight w:val="0"/>
          <w:marTop w:val="0"/>
          <w:marBottom w:val="0"/>
          <w:divBdr>
            <w:top w:val="none" w:sz="0" w:space="0" w:color="auto"/>
            <w:left w:val="none" w:sz="0" w:space="0" w:color="auto"/>
            <w:bottom w:val="none" w:sz="0" w:space="0" w:color="auto"/>
            <w:right w:val="none" w:sz="0" w:space="0" w:color="auto"/>
          </w:divBdr>
          <w:divsChild>
            <w:div w:id="162719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80083">
      <w:bodyDiv w:val="1"/>
      <w:marLeft w:val="0"/>
      <w:marRight w:val="0"/>
      <w:marTop w:val="0"/>
      <w:marBottom w:val="0"/>
      <w:divBdr>
        <w:top w:val="none" w:sz="0" w:space="0" w:color="auto"/>
        <w:left w:val="none" w:sz="0" w:space="0" w:color="auto"/>
        <w:bottom w:val="none" w:sz="0" w:space="0" w:color="auto"/>
        <w:right w:val="none" w:sz="0" w:space="0" w:color="auto"/>
      </w:divBdr>
    </w:div>
    <w:div w:id="230967603">
      <w:bodyDiv w:val="1"/>
      <w:marLeft w:val="0"/>
      <w:marRight w:val="0"/>
      <w:marTop w:val="0"/>
      <w:marBottom w:val="0"/>
      <w:divBdr>
        <w:top w:val="none" w:sz="0" w:space="0" w:color="auto"/>
        <w:left w:val="none" w:sz="0" w:space="0" w:color="auto"/>
        <w:bottom w:val="none" w:sz="0" w:space="0" w:color="auto"/>
        <w:right w:val="none" w:sz="0" w:space="0" w:color="auto"/>
      </w:divBdr>
    </w:div>
    <w:div w:id="309407511">
      <w:bodyDiv w:val="1"/>
      <w:marLeft w:val="0"/>
      <w:marRight w:val="0"/>
      <w:marTop w:val="0"/>
      <w:marBottom w:val="0"/>
      <w:divBdr>
        <w:top w:val="none" w:sz="0" w:space="0" w:color="auto"/>
        <w:left w:val="none" w:sz="0" w:space="0" w:color="auto"/>
        <w:bottom w:val="none" w:sz="0" w:space="0" w:color="auto"/>
        <w:right w:val="none" w:sz="0" w:space="0" w:color="auto"/>
      </w:divBdr>
      <w:divsChild>
        <w:div w:id="2087262230">
          <w:marLeft w:val="0"/>
          <w:marRight w:val="0"/>
          <w:marTop w:val="0"/>
          <w:marBottom w:val="0"/>
          <w:divBdr>
            <w:top w:val="none" w:sz="0" w:space="0" w:color="auto"/>
            <w:left w:val="none" w:sz="0" w:space="0" w:color="auto"/>
            <w:bottom w:val="none" w:sz="0" w:space="0" w:color="auto"/>
            <w:right w:val="none" w:sz="0" w:space="0" w:color="auto"/>
          </w:divBdr>
          <w:divsChild>
            <w:div w:id="388572254">
              <w:marLeft w:val="0"/>
              <w:marRight w:val="0"/>
              <w:marTop w:val="0"/>
              <w:marBottom w:val="0"/>
              <w:divBdr>
                <w:top w:val="none" w:sz="0" w:space="0" w:color="auto"/>
                <w:left w:val="none" w:sz="0" w:space="0" w:color="auto"/>
                <w:bottom w:val="none" w:sz="0" w:space="0" w:color="auto"/>
                <w:right w:val="none" w:sz="0" w:space="0" w:color="auto"/>
              </w:divBdr>
            </w:div>
            <w:div w:id="532964819">
              <w:marLeft w:val="0"/>
              <w:marRight w:val="0"/>
              <w:marTop w:val="0"/>
              <w:marBottom w:val="0"/>
              <w:divBdr>
                <w:top w:val="none" w:sz="0" w:space="0" w:color="auto"/>
                <w:left w:val="none" w:sz="0" w:space="0" w:color="auto"/>
                <w:bottom w:val="none" w:sz="0" w:space="0" w:color="auto"/>
                <w:right w:val="none" w:sz="0" w:space="0" w:color="auto"/>
              </w:divBdr>
            </w:div>
            <w:div w:id="8230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37290">
      <w:bodyDiv w:val="1"/>
      <w:marLeft w:val="0"/>
      <w:marRight w:val="0"/>
      <w:marTop w:val="0"/>
      <w:marBottom w:val="0"/>
      <w:divBdr>
        <w:top w:val="none" w:sz="0" w:space="0" w:color="auto"/>
        <w:left w:val="none" w:sz="0" w:space="0" w:color="auto"/>
        <w:bottom w:val="none" w:sz="0" w:space="0" w:color="auto"/>
        <w:right w:val="none" w:sz="0" w:space="0" w:color="auto"/>
      </w:divBdr>
    </w:div>
    <w:div w:id="313146043">
      <w:bodyDiv w:val="1"/>
      <w:marLeft w:val="0"/>
      <w:marRight w:val="0"/>
      <w:marTop w:val="0"/>
      <w:marBottom w:val="0"/>
      <w:divBdr>
        <w:top w:val="none" w:sz="0" w:space="0" w:color="auto"/>
        <w:left w:val="none" w:sz="0" w:space="0" w:color="auto"/>
        <w:bottom w:val="none" w:sz="0" w:space="0" w:color="auto"/>
        <w:right w:val="none" w:sz="0" w:space="0" w:color="auto"/>
      </w:divBdr>
    </w:div>
    <w:div w:id="317538919">
      <w:bodyDiv w:val="1"/>
      <w:marLeft w:val="0"/>
      <w:marRight w:val="0"/>
      <w:marTop w:val="0"/>
      <w:marBottom w:val="0"/>
      <w:divBdr>
        <w:top w:val="none" w:sz="0" w:space="0" w:color="auto"/>
        <w:left w:val="none" w:sz="0" w:space="0" w:color="auto"/>
        <w:bottom w:val="none" w:sz="0" w:space="0" w:color="auto"/>
        <w:right w:val="none" w:sz="0" w:space="0" w:color="auto"/>
      </w:divBdr>
      <w:divsChild>
        <w:div w:id="271743592">
          <w:marLeft w:val="0"/>
          <w:marRight w:val="0"/>
          <w:marTop w:val="0"/>
          <w:marBottom w:val="0"/>
          <w:divBdr>
            <w:top w:val="none" w:sz="0" w:space="0" w:color="auto"/>
            <w:left w:val="none" w:sz="0" w:space="0" w:color="auto"/>
            <w:bottom w:val="none" w:sz="0" w:space="0" w:color="auto"/>
            <w:right w:val="none" w:sz="0" w:space="0" w:color="auto"/>
          </w:divBdr>
        </w:div>
      </w:divsChild>
    </w:div>
    <w:div w:id="327170773">
      <w:bodyDiv w:val="1"/>
      <w:marLeft w:val="0"/>
      <w:marRight w:val="0"/>
      <w:marTop w:val="0"/>
      <w:marBottom w:val="0"/>
      <w:divBdr>
        <w:top w:val="none" w:sz="0" w:space="0" w:color="auto"/>
        <w:left w:val="none" w:sz="0" w:space="0" w:color="auto"/>
        <w:bottom w:val="none" w:sz="0" w:space="0" w:color="auto"/>
        <w:right w:val="none" w:sz="0" w:space="0" w:color="auto"/>
      </w:divBdr>
    </w:div>
    <w:div w:id="330565433">
      <w:bodyDiv w:val="1"/>
      <w:marLeft w:val="0"/>
      <w:marRight w:val="0"/>
      <w:marTop w:val="0"/>
      <w:marBottom w:val="0"/>
      <w:divBdr>
        <w:top w:val="none" w:sz="0" w:space="0" w:color="auto"/>
        <w:left w:val="none" w:sz="0" w:space="0" w:color="auto"/>
        <w:bottom w:val="none" w:sz="0" w:space="0" w:color="auto"/>
        <w:right w:val="none" w:sz="0" w:space="0" w:color="auto"/>
      </w:divBdr>
    </w:div>
    <w:div w:id="335159765">
      <w:bodyDiv w:val="1"/>
      <w:marLeft w:val="0"/>
      <w:marRight w:val="0"/>
      <w:marTop w:val="0"/>
      <w:marBottom w:val="0"/>
      <w:divBdr>
        <w:top w:val="none" w:sz="0" w:space="0" w:color="auto"/>
        <w:left w:val="none" w:sz="0" w:space="0" w:color="auto"/>
        <w:bottom w:val="none" w:sz="0" w:space="0" w:color="auto"/>
        <w:right w:val="none" w:sz="0" w:space="0" w:color="auto"/>
      </w:divBdr>
    </w:div>
    <w:div w:id="339937057">
      <w:bodyDiv w:val="1"/>
      <w:marLeft w:val="0"/>
      <w:marRight w:val="0"/>
      <w:marTop w:val="0"/>
      <w:marBottom w:val="0"/>
      <w:divBdr>
        <w:top w:val="none" w:sz="0" w:space="0" w:color="auto"/>
        <w:left w:val="none" w:sz="0" w:space="0" w:color="auto"/>
        <w:bottom w:val="none" w:sz="0" w:space="0" w:color="auto"/>
        <w:right w:val="none" w:sz="0" w:space="0" w:color="auto"/>
      </w:divBdr>
      <w:divsChild>
        <w:div w:id="72706417">
          <w:marLeft w:val="0"/>
          <w:marRight w:val="0"/>
          <w:marTop w:val="0"/>
          <w:marBottom w:val="0"/>
          <w:divBdr>
            <w:top w:val="none" w:sz="0" w:space="0" w:color="auto"/>
            <w:left w:val="none" w:sz="0" w:space="0" w:color="auto"/>
            <w:bottom w:val="none" w:sz="0" w:space="0" w:color="auto"/>
            <w:right w:val="none" w:sz="0" w:space="0" w:color="auto"/>
          </w:divBdr>
        </w:div>
        <w:div w:id="112209145">
          <w:marLeft w:val="0"/>
          <w:marRight w:val="0"/>
          <w:marTop w:val="0"/>
          <w:marBottom w:val="0"/>
          <w:divBdr>
            <w:top w:val="none" w:sz="0" w:space="0" w:color="auto"/>
            <w:left w:val="none" w:sz="0" w:space="0" w:color="auto"/>
            <w:bottom w:val="none" w:sz="0" w:space="0" w:color="auto"/>
            <w:right w:val="none" w:sz="0" w:space="0" w:color="auto"/>
          </w:divBdr>
        </w:div>
        <w:div w:id="121003571">
          <w:marLeft w:val="0"/>
          <w:marRight w:val="0"/>
          <w:marTop w:val="0"/>
          <w:marBottom w:val="0"/>
          <w:divBdr>
            <w:top w:val="none" w:sz="0" w:space="0" w:color="auto"/>
            <w:left w:val="none" w:sz="0" w:space="0" w:color="auto"/>
            <w:bottom w:val="none" w:sz="0" w:space="0" w:color="auto"/>
            <w:right w:val="none" w:sz="0" w:space="0" w:color="auto"/>
          </w:divBdr>
        </w:div>
        <w:div w:id="136731390">
          <w:marLeft w:val="0"/>
          <w:marRight w:val="0"/>
          <w:marTop w:val="0"/>
          <w:marBottom w:val="0"/>
          <w:divBdr>
            <w:top w:val="none" w:sz="0" w:space="0" w:color="auto"/>
            <w:left w:val="none" w:sz="0" w:space="0" w:color="auto"/>
            <w:bottom w:val="none" w:sz="0" w:space="0" w:color="auto"/>
            <w:right w:val="none" w:sz="0" w:space="0" w:color="auto"/>
          </w:divBdr>
        </w:div>
        <w:div w:id="146284638">
          <w:marLeft w:val="0"/>
          <w:marRight w:val="0"/>
          <w:marTop w:val="0"/>
          <w:marBottom w:val="0"/>
          <w:divBdr>
            <w:top w:val="none" w:sz="0" w:space="0" w:color="auto"/>
            <w:left w:val="none" w:sz="0" w:space="0" w:color="auto"/>
            <w:bottom w:val="none" w:sz="0" w:space="0" w:color="auto"/>
            <w:right w:val="none" w:sz="0" w:space="0" w:color="auto"/>
          </w:divBdr>
        </w:div>
        <w:div w:id="183598388">
          <w:marLeft w:val="0"/>
          <w:marRight w:val="0"/>
          <w:marTop w:val="0"/>
          <w:marBottom w:val="0"/>
          <w:divBdr>
            <w:top w:val="none" w:sz="0" w:space="0" w:color="auto"/>
            <w:left w:val="none" w:sz="0" w:space="0" w:color="auto"/>
            <w:bottom w:val="none" w:sz="0" w:space="0" w:color="auto"/>
            <w:right w:val="none" w:sz="0" w:space="0" w:color="auto"/>
          </w:divBdr>
        </w:div>
        <w:div w:id="241332719">
          <w:marLeft w:val="0"/>
          <w:marRight w:val="0"/>
          <w:marTop w:val="0"/>
          <w:marBottom w:val="0"/>
          <w:divBdr>
            <w:top w:val="none" w:sz="0" w:space="0" w:color="auto"/>
            <w:left w:val="none" w:sz="0" w:space="0" w:color="auto"/>
            <w:bottom w:val="none" w:sz="0" w:space="0" w:color="auto"/>
            <w:right w:val="none" w:sz="0" w:space="0" w:color="auto"/>
          </w:divBdr>
        </w:div>
        <w:div w:id="242762675">
          <w:marLeft w:val="0"/>
          <w:marRight w:val="0"/>
          <w:marTop w:val="0"/>
          <w:marBottom w:val="0"/>
          <w:divBdr>
            <w:top w:val="none" w:sz="0" w:space="0" w:color="auto"/>
            <w:left w:val="none" w:sz="0" w:space="0" w:color="auto"/>
            <w:bottom w:val="none" w:sz="0" w:space="0" w:color="auto"/>
            <w:right w:val="none" w:sz="0" w:space="0" w:color="auto"/>
          </w:divBdr>
        </w:div>
        <w:div w:id="256642055">
          <w:marLeft w:val="0"/>
          <w:marRight w:val="0"/>
          <w:marTop w:val="0"/>
          <w:marBottom w:val="0"/>
          <w:divBdr>
            <w:top w:val="none" w:sz="0" w:space="0" w:color="auto"/>
            <w:left w:val="none" w:sz="0" w:space="0" w:color="auto"/>
            <w:bottom w:val="none" w:sz="0" w:space="0" w:color="auto"/>
            <w:right w:val="none" w:sz="0" w:space="0" w:color="auto"/>
          </w:divBdr>
        </w:div>
        <w:div w:id="260533301">
          <w:marLeft w:val="0"/>
          <w:marRight w:val="0"/>
          <w:marTop w:val="0"/>
          <w:marBottom w:val="0"/>
          <w:divBdr>
            <w:top w:val="none" w:sz="0" w:space="0" w:color="auto"/>
            <w:left w:val="none" w:sz="0" w:space="0" w:color="auto"/>
            <w:bottom w:val="none" w:sz="0" w:space="0" w:color="auto"/>
            <w:right w:val="none" w:sz="0" w:space="0" w:color="auto"/>
          </w:divBdr>
        </w:div>
        <w:div w:id="282813196">
          <w:marLeft w:val="0"/>
          <w:marRight w:val="0"/>
          <w:marTop w:val="0"/>
          <w:marBottom w:val="0"/>
          <w:divBdr>
            <w:top w:val="none" w:sz="0" w:space="0" w:color="auto"/>
            <w:left w:val="none" w:sz="0" w:space="0" w:color="auto"/>
            <w:bottom w:val="none" w:sz="0" w:space="0" w:color="auto"/>
            <w:right w:val="none" w:sz="0" w:space="0" w:color="auto"/>
          </w:divBdr>
        </w:div>
        <w:div w:id="317273428">
          <w:marLeft w:val="0"/>
          <w:marRight w:val="0"/>
          <w:marTop w:val="0"/>
          <w:marBottom w:val="0"/>
          <w:divBdr>
            <w:top w:val="none" w:sz="0" w:space="0" w:color="auto"/>
            <w:left w:val="none" w:sz="0" w:space="0" w:color="auto"/>
            <w:bottom w:val="none" w:sz="0" w:space="0" w:color="auto"/>
            <w:right w:val="none" w:sz="0" w:space="0" w:color="auto"/>
          </w:divBdr>
        </w:div>
        <w:div w:id="403989272">
          <w:marLeft w:val="0"/>
          <w:marRight w:val="0"/>
          <w:marTop w:val="0"/>
          <w:marBottom w:val="0"/>
          <w:divBdr>
            <w:top w:val="none" w:sz="0" w:space="0" w:color="auto"/>
            <w:left w:val="none" w:sz="0" w:space="0" w:color="auto"/>
            <w:bottom w:val="none" w:sz="0" w:space="0" w:color="auto"/>
            <w:right w:val="none" w:sz="0" w:space="0" w:color="auto"/>
          </w:divBdr>
        </w:div>
        <w:div w:id="417405218">
          <w:marLeft w:val="0"/>
          <w:marRight w:val="0"/>
          <w:marTop w:val="0"/>
          <w:marBottom w:val="0"/>
          <w:divBdr>
            <w:top w:val="none" w:sz="0" w:space="0" w:color="auto"/>
            <w:left w:val="none" w:sz="0" w:space="0" w:color="auto"/>
            <w:bottom w:val="none" w:sz="0" w:space="0" w:color="auto"/>
            <w:right w:val="none" w:sz="0" w:space="0" w:color="auto"/>
          </w:divBdr>
        </w:div>
        <w:div w:id="428736869">
          <w:marLeft w:val="0"/>
          <w:marRight w:val="0"/>
          <w:marTop w:val="0"/>
          <w:marBottom w:val="0"/>
          <w:divBdr>
            <w:top w:val="none" w:sz="0" w:space="0" w:color="auto"/>
            <w:left w:val="none" w:sz="0" w:space="0" w:color="auto"/>
            <w:bottom w:val="none" w:sz="0" w:space="0" w:color="auto"/>
            <w:right w:val="none" w:sz="0" w:space="0" w:color="auto"/>
          </w:divBdr>
        </w:div>
        <w:div w:id="503587878">
          <w:marLeft w:val="0"/>
          <w:marRight w:val="0"/>
          <w:marTop w:val="0"/>
          <w:marBottom w:val="0"/>
          <w:divBdr>
            <w:top w:val="none" w:sz="0" w:space="0" w:color="auto"/>
            <w:left w:val="none" w:sz="0" w:space="0" w:color="auto"/>
            <w:bottom w:val="none" w:sz="0" w:space="0" w:color="auto"/>
            <w:right w:val="none" w:sz="0" w:space="0" w:color="auto"/>
          </w:divBdr>
        </w:div>
        <w:div w:id="508132907">
          <w:marLeft w:val="0"/>
          <w:marRight w:val="0"/>
          <w:marTop w:val="0"/>
          <w:marBottom w:val="0"/>
          <w:divBdr>
            <w:top w:val="none" w:sz="0" w:space="0" w:color="auto"/>
            <w:left w:val="none" w:sz="0" w:space="0" w:color="auto"/>
            <w:bottom w:val="none" w:sz="0" w:space="0" w:color="auto"/>
            <w:right w:val="none" w:sz="0" w:space="0" w:color="auto"/>
          </w:divBdr>
        </w:div>
        <w:div w:id="519129302">
          <w:marLeft w:val="0"/>
          <w:marRight w:val="0"/>
          <w:marTop w:val="0"/>
          <w:marBottom w:val="0"/>
          <w:divBdr>
            <w:top w:val="none" w:sz="0" w:space="0" w:color="auto"/>
            <w:left w:val="none" w:sz="0" w:space="0" w:color="auto"/>
            <w:bottom w:val="none" w:sz="0" w:space="0" w:color="auto"/>
            <w:right w:val="none" w:sz="0" w:space="0" w:color="auto"/>
          </w:divBdr>
        </w:div>
        <w:div w:id="628048774">
          <w:marLeft w:val="0"/>
          <w:marRight w:val="0"/>
          <w:marTop w:val="0"/>
          <w:marBottom w:val="0"/>
          <w:divBdr>
            <w:top w:val="none" w:sz="0" w:space="0" w:color="auto"/>
            <w:left w:val="none" w:sz="0" w:space="0" w:color="auto"/>
            <w:bottom w:val="none" w:sz="0" w:space="0" w:color="auto"/>
            <w:right w:val="none" w:sz="0" w:space="0" w:color="auto"/>
          </w:divBdr>
        </w:div>
        <w:div w:id="635725248">
          <w:marLeft w:val="0"/>
          <w:marRight w:val="0"/>
          <w:marTop w:val="0"/>
          <w:marBottom w:val="0"/>
          <w:divBdr>
            <w:top w:val="none" w:sz="0" w:space="0" w:color="auto"/>
            <w:left w:val="none" w:sz="0" w:space="0" w:color="auto"/>
            <w:bottom w:val="none" w:sz="0" w:space="0" w:color="auto"/>
            <w:right w:val="none" w:sz="0" w:space="0" w:color="auto"/>
          </w:divBdr>
        </w:div>
        <w:div w:id="653334935">
          <w:marLeft w:val="0"/>
          <w:marRight w:val="0"/>
          <w:marTop w:val="0"/>
          <w:marBottom w:val="0"/>
          <w:divBdr>
            <w:top w:val="none" w:sz="0" w:space="0" w:color="auto"/>
            <w:left w:val="none" w:sz="0" w:space="0" w:color="auto"/>
            <w:bottom w:val="none" w:sz="0" w:space="0" w:color="auto"/>
            <w:right w:val="none" w:sz="0" w:space="0" w:color="auto"/>
          </w:divBdr>
        </w:div>
        <w:div w:id="679161470">
          <w:marLeft w:val="0"/>
          <w:marRight w:val="0"/>
          <w:marTop w:val="0"/>
          <w:marBottom w:val="0"/>
          <w:divBdr>
            <w:top w:val="none" w:sz="0" w:space="0" w:color="auto"/>
            <w:left w:val="none" w:sz="0" w:space="0" w:color="auto"/>
            <w:bottom w:val="none" w:sz="0" w:space="0" w:color="auto"/>
            <w:right w:val="none" w:sz="0" w:space="0" w:color="auto"/>
          </w:divBdr>
        </w:div>
        <w:div w:id="700127139">
          <w:marLeft w:val="0"/>
          <w:marRight w:val="0"/>
          <w:marTop w:val="0"/>
          <w:marBottom w:val="0"/>
          <w:divBdr>
            <w:top w:val="none" w:sz="0" w:space="0" w:color="auto"/>
            <w:left w:val="none" w:sz="0" w:space="0" w:color="auto"/>
            <w:bottom w:val="none" w:sz="0" w:space="0" w:color="auto"/>
            <w:right w:val="none" w:sz="0" w:space="0" w:color="auto"/>
          </w:divBdr>
        </w:div>
        <w:div w:id="779111359">
          <w:marLeft w:val="0"/>
          <w:marRight w:val="0"/>
          <w:marTop w:val="0"/>
          <w:marBottom w:val="0"/>
          <w:divBdr>
            <w:top w:val="none" w:sz="0" w:space="0" w:color="auto"/>
            <w:left w:val="none" w:sz="0" w:space="0" w:color="auto"/>
            <w:bottom w:val="none" w:sz="0" w:space="0" w:color="auto"/>
            <w:right w:val="none" w:sz="0" w:space="0" w:color="auto"/>
          </w:divBdr>
        </w:div>
        <w:div w:id="811100059">
          <w:marLeft w:val="0"/>
          <w:marRight w:val="0"/>
          <w:marTop w:val="0"/>
          <w:marBottom w:val="0"/>
          <w:divBdr>
            <w:top w:val="none" w:sz="0" w:space="0" w:color="auto"/>
            <w:left w:val="none" w:sz="0" w:space="0" w:color="auto"/>
            <w:bottom w:val="none" w:sz="0" w:space="0" w:color="auto"/>
            <w:right w:val="none" w:sz="0" w:space="0" w:color="auto"/>
          </w:divBdr>
        </w:div>
        <w:div w:id="815955163">
          <w:marLeft w:val="0"/>
          <w:marRight w:val="0"/>
          <w:marTop w:val="0"/>
          <w:marBottom w:val="0"/>
          <w:divBdr>
            <w:top w:val="none" w:sz="0" w:space="0" w:color="auto"/>
            <w:left w:val="none" w:sz="0" w:space="0" w:color="auto"/>
            <w:bottom w:val="none" w:sz="0" w:space="0" w:color="auto"/>
            <w:right w:val="none" w:sz="0" w:space="0" w:color="auto"/>
          </w:divBdr>
        </w:div>
        <w:div w:id="834958791">
          <w:marLeft w:val="0"/>
          <w:marRight w:val="0"/>
          <w:marTop w:val="0"/>
          <w:marBottom w:val="0"/>
          <w:divBdr>
            <w:top w:val="none" w:sz="0" w:space="0" w:color="auto"/>
            <w:left w:val="none" w:sz="0" w:space="0" w:color="auto"/>
            <w:bottom w:val="none" w:sz="0" w:space="0" w:color="auto"/>
            <w:right w:val="none" w:sz="0" w:space="0" w:color="auto"/>
          </w:divBdr>
        </w:div>
        <w:div w:id="893078978">
          <w:marLeft w:val="0"/>
          <w:marRight w:val="0"/>
          <w:marTop w:val="0"/>
          <w:marBottom w:val="0"/>
          <w:divBdr>
            <w:top w:val="none" w:sz="0" w:space="0" w:color="auto"/>
            <w:left w:val="none" w:sz="0" w:space="0" w:color="auto"/>
            <w:bottom w:val="none" w:sz="0" w:space="0" w:color="auto"/>
            <w:right w:val="none" w:sz="0" w:space="0" w:color="auto"/>
          </w:divBdr>
        </w:div>
        <w:div w:id="905069628">
          <w:marLeft w:val="0"/>
          <w:marRight w:val="0"/>
          <w:marTop w:val="0"/>
          <w:marBottom w:val="0"/>
          <w:divBdr>
            <w:top w:val="none" w:sz="0" w:space="0" w:color="auto"/>
            <w:left w:val="none" w:sz="0" w:space="0" w:color="auto"/>
            <w:bottom w:val="none" w:sz="0" w:space="0" w:color="auto"/>
            <w:right w:val="none" w:sz="0" w:space="0" w:color="auto"/>
          </w:divBdr>
        </w:div>
        <w:div w:id="910119249">
          <w:marLeft w:val="0"/>
          <w:marRight w:val="0"/>
          <w:marTop w:val="0"/>
          <w:marBottom w:val="0"/>
          <w:divBdr>
            <w:top w:val="none" w:sz="0" w:space="0" w:color="auto"/>
            <w:left w:val="none" w:sz="0" w:space="0" w:color="auto"/>
            <w:bottom w:val="none" w:sz="0" w:space="0" w:color="auto"/>
            <w:right w:val="none" w:sz="0" w:space="0" w:color="auto"/>
          </w:divBdr>
        </w:div>
        <w:div w:id="980884298">
          <w:marLeft w:val="0"/>
          <w:marRight w:val="0"/>
          <w:marTop w:val="0"/>
          <w:marBottom w:val="0"/>
          <w:divBdr>
            <w:top w:val="none" w:sz="0" w:space="0" w:color="auto"/>
            <w:left w:val="none" w:sz="0" w:space="0" w:color="auto"/>
            <w:bottom w:val="none" w:sz="0" w:space="0" w:color="auto"/>
            <w:right w:val="none" w:sz="0" w:space="0" w:color="auto"/>
          </w:divBdr>
        </w:div>
        <w:div w:id="993140389">
          <w:marLeft w:val="0"/>
          <w:marRight w:val="0"/>
          <w:marTop w:val="0"/>
          <w:marBottom w:val="0"/>
          <w:divBdr>
            <w:top w:val="none" w:sz="0" w:space="0" w:color="auto"/>
            <w:left w:val="none" w:sz="0" w:space="0" w:color="auto"/>
            <w:bottom w:val="none" w:sz="0" w:space="0" w:color="auto"/>
            <w:right w:val="none" w:sz="0" w:space="0" w:color="auto"/>
          </w:divBdr>
        </w:div>
        <w:div w:id="1022516144">
          <w:marLeft w:val="0"/>
          <w:marRight w:val="0"/>
          <w:marTop w:val="0"/>
          <w:marBottom w:val="0"/>
          <w:divBdr>
            <w:top w:val="none" w:sz="0" w:space="0" w:color="auto"/>
            <w:left w:val="none" w:sz="0" w:space="0" w:color="auto"/>
            <w:bottom w:val="none" w:sz="0" w:space="0" w:color="auto"/>
            <w:right w:val="none" w:sz="0" w:space="0" w:color="auto"/>
          </w:divBdr>
        </w:div>
        <w:div w:id="1026759392">
          <w:marLeft w:val="0"/>
          <w:marRight w:val="0"/>
          <w:marTop w:val="0"/>
          <w:marBottom w:val="0"/>
          <w:divBdr>
            <w:top w:val="none" w:sz="0" w:space="0" w:color="auto"/>
            <w:left w:val="none" w:sz="0" w:space="0" w:color="auto"/>
            <w:bottom w:val="none" w:sz="0" w:space="0" w:color="auto"/>
            <w:right w:val="none" w:sz="0" w:space="0" w:color="auto"/>
          </w:divBdr>
        </w:div>
        <w:div w:id="1110777870">
          <w:marLeft w:val="0"/>
          <w:marRight w:val="0"/>
          <w:marTop w:val="0"/>
          <w:marBottom w:val="0"/>
          <w:divBdr>
            <w:top w:val="none" w:sz="0" w:space="0" w:color="auto"/>
            <w:left w:val="none" w:sz="0" w:space="0" w:color="auto"/>
            <w:bottom w:val="none" w:sz="0" w:space="0" w:color="auto"/>
            <w:right w:val="none" w:sz="0" w:space="0" w:color="auto"/>
          </w:divBdr>
        </w:div>
        <w:div w:id="1165322724">
          <w:marLeft w:val="0"/>
          <w:marRight w:val="0"/>
          <w:marTop w:val="0"/>
          <w:marBottom w:val="0"/>
          <w:divBdr>
            <w:top w:val="none" w:sz="0" w:space="0" w:color="auto"/>
            <w:left w:val="none" w:sz="0" w:space="0" w:color="auto"/>
            <w:bottom w:val="none" w:sz="0" w:space="0" w:color="auto"/>
            <w:right w:val="none" w:sz="0" w:space="0" w:color="auto"/>
          </w:divBdr>
        </w:div>
        <w:div w:id="1230726719">
          <w:marLeft w:val="0"/>
          <w:marRight w:val="0"/>
          <w:marTop w:val="0"/>
          <w:marBottom w:val="0"/>
          <w:divBdr>
            <w:top w:val="none" w:sz="0" w:space="0" w:color="auto"/>
            <w:left w:val="none" w:sz="0" w:space="0" w:color="auto"/>
            <w:bottom w:val="none" w:sz="0" w:space="0" w:color="auto"/>
            <w:right w:val="none" w:sz="0" w:space="0" w:color="auto"/>
          </w:divBdr>
        </w:div>
        <w:div w:id="1294361453">
          <w:marLeft w:val="0"/>
          <w:marRight w:val="0"/>
          <w:marTop w:val="0"/>
          <w:marBottom w:val="0"/>
          <w:divBdr>
            <w:top w:val="none" w:sz="0" w:space="0" w:color="auto"/>
            <w:left w:val="none" w:sz="0" w:space="0" w:color="auto"/>
            <w:bottom w:val="none" w:sz="0" w:space="0" w:color="auto"/>
            <w:right w:val="none" w:sz="0" w:space="0" w:color="auto"/>
          </w:divBdr>
        </w:div>
        <w:div w:id="1322320071">
          <w:marLeft w:val="0"/>
          <w:marRight w:val="0"/>
          <w:marTop w:val="0"/>
          <w:marBottom w:val="0"/>
          <w:divBdr>
            <w:top w:val="none" w:sz="0" w:space="0" w:color="auto"/>
            <w:left w:val="none" w:sz="0" w:space="0" w:color="auto"/>
            <w:bottom w:val="none" w:sz="0" w:space="0" w:color="auto"/>
            <w:right w:val="none" w:sz="0" w:space="0" w:color="auto"/>
          </w:divBdr>
        </w:div>
        <w:div w:id="1339229807">
          <w:marLeft w:val="0"/>
          <w:marRight w:val="0"/>
          <w:marTop w:val="0"/>
          <w:marBottom w:val="0"/>
          <w:divBdr>
            <w:top w:val="none" w:sz="0" w:space="0" w:color="auto"/>
            <w:left w:val="none" w:sz="0" w:space="0" w:color="auto"/>
            <w:bottom w:val="none" w:sz="0" w:space="0" w:color="auto"/>
            <w:right w:val="none" w:sz="0" w:space="0" w:color="auto"/>
          </w:divBdr>
        </w:div>
        <w:div w:id="1365250209">
          <w:marLeft w:val="0"/>
          <w:marRight w:val="0"/>
          <w:marTop w:val="0"/>
          <w:marBottom w:val="0"/>
          <w:divBdr>
            <w:top w:val="none" w:sz="0" w:space="0" w:color="auto"/>
            <w:left w:val="none" w:sz="0" w:space="0" w:color="auto"/>
            <w:bottom w:val="none" w:sz="0" w:space="0" w:color="auto"/>
            <w:right w:val="none" w:sz="0" w:space="0" w:color="auto"/>
          </w:divBdr>
        </w:div>
        <w:div w:id="1382097648">
          <w:marLeft w:val="0"/>
          <w:marRight w:val="0"/>
          <w:marTop w:val="0"/>
          <w:marBottom w:val="0"/>
          <w:divBdr>
            <w:top w:val="none" w:sz="0" w:space="0" w:color="auto"/>
            <w:left w:val="none" w:sz="0" w:space="0" w:color="auto"/>
            <w:bottom w:val="none" w:sz="0" w:space="0" w:color="auto"/>
            <w:right w:val="none" w:sz="0" w:space="0" w:color="auto"/>
          </w:divBdr>
        </w:div>
        <w:div w:id="1402748893">
          <w:marLeft w:val="0"/>
          <w:marRight w:val="0"/>
          <w:marTop w:val="0"/>
          <w:marBottom w:val="0"/>
          <w:divBdr>
            <w:top w:val="none" w:sz="0" w:space="0" w:color="auto"/>
            <w:left w:val="none" w:sz="0" w:space="0" w:color="auto"/>
            <w:bottom w:val="none" w:sz="0" w:space="0" w:color="auto"/>
            <w:right w:val="none" w:sz="0" w:space="0" w:color="auto"/>
          </w:divBdr>
        </w:div>
        <w:div w:id="1413504283">
          <w:marLeft w:val="0"/>
          <w:marRight w:val="0"/>
          <w:marTop w:val="0"/>
          <w:marBottom w:val="0"/>
          <w:divBdr>
            <w:top w:val="none" w:sz="0" w:space="0" w:color="auto"/>
            <w:left w:val="none" w:sz="0" w:space="0" w:color="auto"/>
            <w:bottom w:val="none" w:sz="0" w:space="0" w:color="auto"/>
            <w:right w:val="none" w:sz="0" w:space="0" w:color="auto"/>
          </w:divBdr>
        </w:div>
        <w:div w:id="1518154625">
          <w:marLeft w:val="0"/>
          <w:marRight w:val="0"/>
          <w:marTop w:val="0"/>
          <w:marBottom w:val="0"/>
          <w:divBdr>
            <w:top w:val="none" w:sz="0" w:space="0" w:color="auto"/>
            <w:left w:val="none" w:sz="0" w:space="0" w:color="auto"/>
            <w:bottom w:val="none" w:sz="0" w:space="0" w:color="auto"/>
            <w:right w:val="none" w:sz="0" w:space="0" w:color="auto"/>
          </w:divBdr>
        </w:div>
        <w:div w:id="1530800207">
          <w:marLeft w:val="0"/>
          <w:marRight w:val="0"/>
          <w:marTop w:val="0"/>
          <w:marBottom w:val="0"/>
          <w:divBdr>
            <w:top w:val="none" w:sz="0" w:space="0" w:color="auto"/>
            <w:left w:val="none" w:sz="0" w:space="0" w:color="auto"/>
            <w:bottom w:val="none" w:sz="0" w:space="0" w:color="auto"/>
            <w:right w:val="none" w:sz="0" w:space="0" w:color="auto"/>
          </w:divBdr>
        </w:div>
        <w:div w:id="1563367817">
          <w:marLeft w:val="0"/>
          <w:marRight w:val="0"/>
          <w:marTop w:val="0"/>
          <w:marBottom w:val="0"/>
          <w:divBdr>
            <w:top w:val="none" w:sz="0" w:space="0" w:color="auto"/>
            <w:left w:val="none" w:sz="0" w:space="0" w:color="auto"/>
            <w:bottom w:val="none" w:sz="0" w:space="0" w:color="auto"/>
            <w:right w:val="none" w:sz="0" w:space="0" w:color="auto"/>
          </w:divBdr>
        </w:div>
        <w:div w:id="1588612584">
          <w:marLeft w:val="0"/>
          <w:marRight w:val="0"/>
          <w:marTop w:val="0"/>
          <w:marBottom w:val="0"/>
          <w:divBdr>
            <w:top w:val="none" w:sz="0" w:space="0" w:color="auto"/>
            <w:left w:val="none" w:sz="0" w:space="0" w:color="auto"/>
            <w:bottom w:val="none" w:sz="0" w:space="0" w:color="auto"/>
            <w:right w:val="none" w:sz="0" w:space="0" w:color="auto"/>
          </w:divBdr>
        </w:div>
        <w:div w:id="1601723023">
          <w:marLeft w:val="0"/>
          <w:marRight w:val="0"/>
          <w:marTop w:val="0"/>
          <w:marBottom w:val="0"/>
          <w:divBdr>
            <w:top w:val="none" w:sz="0" w:space="0" w:color="auto"/>
            <w:left w:val="none" w:sz="0" w:space="0" w:color="auto"/>
            <w:bottom w:val="none" w:sz="0" w:space="0" w:color="auto"/>
            <w:right w:val="none" w:sz="0" w:space="0" w:color="auto"/>
          </w:divBdr>
        </w:div>
        <w:div w:id="1610968915">
          <w:marLeft w:val="0"/>
          <w:marRight w:val="0"/>
          <w:marTop w:val="0"/>
          <w:marBottom w:val="0"/>
          <w:divBdr>
            <w:top w:val="none" w:sz="0" w:space="0" w:color="auto"/>
            <w:left w:val="none" w:sz="0" w:space="0" w:color="auto"/>
            <w:bottom w:val="none" w:sz="0" w:space="0" w:color="auto"/>
            <w:right w:val="none" w:sz="0" w:space="0" w:color="auto"/>
          </w:divBdr>
        </w:div>
        <w:div w:id="1614744090">
          <w:marLeft w:val="0"/>
          <w:marRight w:val="0"/>
          <w:marTop w:val="0"/>
          <w:marBottom w:val="0"/>
          <w:divBdr>
            <w:top w:val="none" w:sz="0" w:space="0" w:color="auto"/>
            <w:left w:val="none" w:sz="0" w:space="0" w:color="auto"/>
            <w:bottom w:val="none" w:sz="0" w:space="0" w:color="auto"/>
            <w:right w:val="none" w:sz="0" w:space="0" w:color="auto"/>
          </w:divBdr>
        </w:div>
        <w:div w:id="1634404744">
          <w:marLeft w:val="0"/>
          <w:marRight w:val="0"/>
          <w:marTop w:val="0"/>
          <w:marBottom w:val="0"/>
          <w:divBdr>
            <w:top w:val="none" w:sz="0" w:space="0" w:color="auto"/>
            <w:left w:val="none" w:sz="0" w:space="0" w:color="auto"/>
            <w:bottom w:val="none" w:sz="0" w:space="0" w:color="auto"/>
            <w:right w:val="none" w:sz="0" w:space="0" w:color="auto"/>
          </w:divBdr>
        </w:div>
        <w:div w:id="1654483806">
          <w:marLeft w:val="0"/>
          <w:marRight w:val="0"/>
          <w:marTop w:val="0"/>
          <w:marBottom w:val="0"/>
          <w:divBdr>
            <w:top w:val="none" w:sz="0" w:space="0" w:color="auto"/>
            <w:left w:val="none" w:sz="0" w:space="0" w:color="auto"/>
            <w:bottom w:val="none" w:sz="0" w:space="0" w:color="auto"/>
            <w:right w:val="none" w:sz="0" w:space="0" w:color="auto"/>
          </w:divBdr>
        </w:div>
        <w:div w:id="1671450112">
          <w:marLeft w:val="0"/>
          <w:marRight w:val="0"/>
          <w:marTop w:val="0"/>
          <w:marBottom w:val="0"/>
          <w:divBdr>
            <w:top w:val="none" w:sz="0" w:space="0" w:color="auto"/>
            <w:left w:val="none" w:sz="0" w:space="0" w:color="auto"/>
            <w:bottom w:val="none" w:sz="0" w:space="0" w:color="auto"/>
            <w:right w:val="none" w:sz="0" w:space="0" w:color="auto"/>
          </w:divBdr>
        </w:div>
        <w:div w:id="1677154373">
          <w:marLeft w:val="0"/>
          <w:marRight w:val="0"/>
          <w:marTop w:val="0"/>
          <w:marBottom w:val="0"/>
          <w:divBdr>
            <w:top w:val="none" w:sz="0" w:space="0" w:color="auto"/>
            <w:left w:val="none" w:sz="0" w:space="0" w:color="auto"/>
            <w:bottom w:val="none" w:sz="0" w:space="0" w:color="auto"/>
            <w:right w:val="none" w:sz="0" w:space="0" w:color="auto"/>
          </w:divBdr>
        </w:div>
        <w:div w:id="1678730622">
          <w:marLeft w:val="0"/>
          <w:marRight w:val="0"/>
          <w:marTop w:val="0"/>
          <w:marBottom w:val="0"/>
          <w:divBdr>
            <w:top w:val="none" w:sz="0" w:space="0" w:color="auto"/>
            <w:left w:val="none" w:sz="0" w:space="0" w:color="auto"/>
            <w:bottom w:val="none" w:sz="0" w:space="0" w:color="auto"/>
            <w:right w:val="none" w:sz="0" w:space="0" w:color="auto"/>
          </w:divBdr>
        </w:div>
        <w:div w:id="1698894195">
          <w:marLeft w:val="0"/>
          <w:marRight w:val="0"/>
          <w:marTop w:val="0"/>
          <w:marBottom w:val="0"/>
          <w:divBdr>
            <w:top w:val="none" w:sz="0" w:space="0" w:color="auto"/>
            <w:left w:val="none" w:sz="0" w:space="0" w:color="auto"/>
            <w:bottom w:val="none" w:sz="0" w:space="0" w:color="auto"/>
            <w:right w:val="none" w:sz="0" w:space="0" w:color="auto"/>
          </w:divBdr>
        </w:div>
        <w:div w:id="1700200558">
          <w:marLeft w:val="0"/>
          <w:marRight w:val="0"/>
          <w:marTop w:val="0"/>
          <w:marBottom w:val="0"/>
          <w:divBdr>
            <w:top w:val="none" w:sz="0" w:space="0" w:color="auto"/>
            <w:left w:val="none" w:sz="0" w:space="0" w:color="auto"/>
            <w:bottom w:val="none" w:sz="0" w:space="0" w:color="auto"/>
            <w:right w:val="none" w:sz="0" w:space="0" w:color="auto"/>
          </w:divBdr>
        </w:div>
        <w:div w:id="1707409936">
          <w:marLeft w:val="0"/>
          <w:marRight w:val="0"/>
          <w:marTop w:val="0"/>
          <w:marBottom w:val="0"/>
          <w:divBdr>
            <w:top w:val="none" w:sz="0" w:space="0" w:color="auto"/>
            <w:left w:val="none" w:sz="0" w:space="0" w:color="auto"/>
            <w:bottom w:val="none" w:sz="0" w:space="0" w:color="auto"/>
            <w:right w:val="none" w:sz="0" w:space="0" w:color="auto"/>
          </w:divBdr>
        </w:div>
        <w:div w:id="1722746791">
          <w:marLeft w:val="0"/>
          <w:marRight w:val="0"/>
          <w:marTop w:val="0"/>
          <w:marBottom w:val="0"/>
          <w:divBdr>
            <w:top w:val="none" w:sz="0" w:space="0" w:color="auto"/>
            <w:left w:val="none" w:sz="0" w:space="0" w:color="auto"/>
            <w:bottom w:val="none" w:sz="0" w:space="0" w:color="auto"/>
            <w:right w:val="none" w:sz="0" w:space="0" w:color="auto"/>
          </w:divBdr>
        </w:div>
        <w:div w:id="1753771870">
          <w:marLeft w:val="0"/>
          <w:marRight w:val="0"/>
          <w:marTop w:val="0"/>
          <w:marBottom w:val="0"/>
          <w:divBdr>
            <w:top w:val="none" w:sz="0" w:space="0" w:color="auto"/>
            <w:left w:val="none" w:sz="0" w:space="0" w:color="auto"/>
            <w:bottom w:val="none" w:sz="0" w:space="0" w:color="auto"/>
            <w:right w:val="none" w:sz="0" w:space="0" w:color="auto"/>
          </w:divBdr>
        </w:div>
        <w:div w:id="1756701704">
          <w:marLeft w:val="0"/>
          <w:marRight w:val="0"/>
          <w:marTop w:val="0"/>
          <w:marBottom w:val="0"/>
          <w:divBdr>
            <w:top w:val="none" w:sz="0" w:space="0" w:color="auto"/>
            <w:left w:val="none" w:sz="0" w:space="0" w:color="auto"/>
            <w:bottom w:val="none" w:sz="0" w:space="0" w:color="auto"/>
            <w:right w:val="none" w:sz="0" w:space="0" w:color="auto"/>
          </w:divBdr>
        </w:div>
        <w:div w:id="1771049371">
          <w:marLeft w:val="0"/>
          <w:marRight w:val="0"/>
          <w:marTop w:val="0"/>
          <w:marBottom w:val="0"/>
          <w:divBdr>
            <w:top w:val="none" w:sz="0" w:space="0" w:color="auto"/>
            <w:left w:val="none" w:sz="0" w:space="0" w:color="auto"/>
            <w:bottom w:val="none" w:sz="0" w:space="0" w:color="auto"/>
            <w:right w:val="none" w:sz="0" w:space="0" w:color="auto"/>
          </w:divBdr>
        </w:div>
        <w:div w:id="1777558211">
          <w:marLeft w:val="0"/>
          <w:marRight w:val="0"/>
          <w:marTop w:val="0"/>
          <w:marBottom w:val="0"/>
          <w:divBdr>
            <w:top w:val="none" w:sz="0" w:space="0" w:color="auto"/>
            <w:left w:val="none" w:sz="0" w:space="0" w:color="auto"/>
            <w:bottom w:val="none" w:sz="0" w:space="0" w:color="auto"/>
            <w:right w:val="none" w:sz="0" w:space="0" w:color="auto"/>
          </w:divBdr>
        </w:div>
        <w:div w:id="1810514802">
          <w:marLeft w:val="0"/>
          <w:marRight w:val="0"/>
          <w:marTop w:val="0"/>
          <w:marBottom w:val="0"/>
          <w:divBdr>
            <w:top w:val="none" w:sz="0" w:space="0" w:color="auto"/>
            <w:left w:val="none" w:sz="0" w:space="0" w:color="auto"/>
            <w:bottom w:val="none" w:sz="0" w:space="0" w:color="auto"/>
            <w:right w:val="none" w:sz="0" w:space="0" w:color="auto"/>
          </w:divBdr>
        </w:div>
        <w:div w:id="1824546796">
          <w:marLeft w:val="0"/>
          <w:marRight w:val="0"/>
          <w:marTop w:val="0"/>
          <w:marBottom w:val="0"/>
          <w:divBdr>
            <w:top w:val="none" w:sz="0" w:space="0" w:color="auto"/>
            <w:left w:val="none" w:sz="0" w:space="0" w:color="auto"/>
            <w:bottom w:val="none" w:sz="0" w:space="0" w:color="auto"/>
            <w:right w:val="none" w:sz="0" w:space="0" w:color="auto"/>
          </w:divBdr>
        </w:div>
        <w:div w:id="1943537123">
          <w:marLeft w:val="0"/>
          <w:marRight w:val="0"/>
          <w:marTop w:val="0"/>
          <w:marBottom w:val="0"/>
          <w:divBdr>
            <w:top w:val="none" w:sz="0" w:space="0" w:color="auto"/>
            <w:left w:val="none" w:sz="0" w:space="0" w:color="auto"/>
            <w:bottom w:val="none" w:sz="0" w:space="0" w:color="auto"/>
            <w:right w:val="none" w:sz="0" w:space="0" w:color="auto"/>
          </w:divBdr>
        </w:div>
        <w:div w:id="1948779836">
          <w:marLeft w:val="0"/>
          <w:marRight w:val="0"/>
          <w:marTop w:val="0"/>
          <w:marBottom w:val="0"/>
          <w:divBdr>
            <w:top w:val="none" w:sz="0" w:space="0" w:color="auto"/>
            <w:left w:val="none" w:sz="0" w:space="0" w:color="auto"/>
            <w:bottom w:val="none" w:sz="0" w:space="0" w:color="auto"/>
            <w:right w:val="none" w:sz="0" w:space="0" w:color="auto"/>
          </w:divBdr>
        </w:div>
        <w:div w:id="1957329998">
          <w:marLeft w:val="0"/>
          <w:marRight w:val="0"/>
          <w:marTop w:val="0"/>
          <w:marBottom w:val="0"/>
          <w:divBdr>
            <w:top w:val="none" w:sz="0" w:space="0" w:color="auto"/>
            <w:left w:val="none" w:sz="0" w:space="0" w:color="auto"/>
            <w:bottom w:val="none" w:sz="0" w:space="0" w:color="auto"/>
            <w:right w:val="none" w:sz="0" w:space="0" w:color="auto"/>
          </w:divBdr>
        </w:div>
        <w:div w:id="1970746768">
          <w:marLeft w:val="0"/>
          <w:marRight w:val="0"/>
          <w:marTop w:val="0"/>
          <w:marBottom w:val="0"/>
          <w:divBdr>
            <w:top w:val="none" w:sz="0" w:space="0" w:color="auto"/>
            <w:left w:val="none" w:sz="0" w:space="0" w:color="auto"/>
            <w:bottom w:val="none" w:sz="0" w:space="0" w:color="auto"/>
            <w:right w:val="none" w:sz="0" w:space="0" w:color="auto"/>
          </w:divBdr>
        </w:div>
        <w:div w:id="1986659236">
          <w:marLeft w:val="0"/>
          <w:marRight w:val="0"/>
          <w:marTop w:val="0"/>
          <w:marBottom w:val="0"/>
          <w:divBdr>
            <w:top w:val="none" w:sz="0" w:space="0" w:color="auto"/>
            <w:left w:val="none" w:sz="0" w:space="0" w:color="auto"/>
            <w:bottom w:val="none" w:sz="0" w:space="0" w:color="auto"/>
            <w:right w:val="none" w:sz="0" w:space="0" w:color="auto"/>
          </w:divBdr>
        </w:div>
        <w:div w:id="2037000094">
          <w:marLeft w:val="0"/>
          <w:marRight w:val="0"/>
          <w:marTop w:val="0"/>
          <w:marBottom w:val="0"/>
          <w:divBdr>
            <w:top w:val="none" w:sz="0" w:space="0" w:color="auto"/>
            <w:left w:val="none" w:sz="0" w:space="0" w:color="auto"/>
            <w:bottom w:val="none" w:sz="0" w:space="0" w:color="auto"/>
            <w:right w:val="none" w:sz="0" w:space="0" w:color="auto"/>
          </w:divBdr>
        </w:div>
        <w:div w:id="2038850237">
          <w:marLeft w:val="0"/>
          <w:marRight w:val="0"/>
          <w:marTop w:val="0"/>
          <w:marBottom w:val="0"/>
          <w:divBdr>
            <w:top w:val="none" w:sz="0" w:space="0" w:color="auto"/>
            <w:left w:val="none" w:sz="0" w:space="0" w:color="auto"/>
            <w:bottom w:val="none" w:sz="0" w:space="0" w:color="auto"/>
            <w:right w:val="none" w:sz="0" w:space="0" w:color="auto"/>
          </w:divBdr>
        </w:div>
        <w:div w:id="2057117120">
          <w:marLeft w:val="0"/>
          <w:marRight w:val="0"/>
          <w:marTop w:val="0"/>
          <w:marBottom w:val="0"/>
          <w:divBdr>
            <w:top w:val="none" w:sz="0" w:space="0" w:color="auto"/>
            <w:left w:val="none" w:sz="0" w:space="0" w:color="auto"/>
            <w:bottom w:val="none" w:sz="0" w:space="0" w:color="auto"/>
            <w:right w:val="none" w:sz="0" w:space="0" w:color="auto"/>
          </w:divBdr>
        </w:div>
        <w:div w:id="2058963749">
          <w:marLeft w:val="0"/>
          <w:marRight w:val="0"/>
          <w:marTop w:val="0"/>
          <w:marBottom w:val="0"/>
          <w:divBdr>
            <w:top w:val="none" w:sz="0" w:space="0" w:color="auto"/>
            <w:left w:val="none" w:sz="0" w:space="0" w:color="auto"/>
            <w:bottom w:val="none" w:sz="0" w:space="0" w:color="auto"/>
            <w:right w:val="none" w:sz="0" w:space="0" w:color="auto"/>
          </w:divBdr>
        </w:div>
        <w:div w:id="2085175372">
          <w:marLeft w:val="0"/>
          <w:marRight w:val="0"/>
          <w:marTop w:val="0"/>
          <w:marBottom w:val="0"/>
          <w:divBdr>
            <w:top w:val="none" w:sz="0" w:space="0" w:color="auto"/>
            <w:left w:val="none" w:sz="0" w:space="0" w:color="auto"/>
            <w:bottom w:val="none" w:sz="0" w:space="0" w:color="auto"/>
            <w:right w:val="none" w:sz="0" w:space="0" w:color="auto"/>
          </w:divBdr>
        </w:div>
      </w:divsChild>
    </w:div>
    <w:div w:id="353917962">
      <w:bodyDiv w:val="1"/>
      <w:marLeft w:val="0"/>
      <w:marRight w:val="0"/>
      <w:marTop w:val="0"/>
      <w:marBottom w:val="0"/>
      <w:divBdr>
        <w:top w:val="none" w:sz="0" w:space="0" w:color="auto"/>
        <w:left w:val="none" w:sz="0" w:space="0" w:color="auto"/>
        <w:bottom w:val="none" w:sz="0" w:space="0" w:color="auto"/>
        <w:right w:val="none" w:sz="0" w:space="0" w:color="auto"/>
      </w:divBdr>
      <w:divsChild>
        <w:div w:id="3559603">
          <w:marLeft w:val="475"/>
          <w:marRight w:val="0"/>
          <w:marTop w:val="86"/>
          <w:marBottom w:val="120"/>
          <w:divBdr>
            <w:top w:val="none" w:sz="0" w:space="0" w:color="auto"/>
            <w:left w:val="none" w:sz="0" w:space="0" w:color="auto"/>
            <w:bottom w:val="none" w:sz="0" w:space="0" w:color="auto"/>
            <w:right w:val="none" w:sz="0" w:space="0" w:color="auto"/>
          </w:divBdr>
        </w:div>
        <w:div w:id="1436293170">
          <w:marLeft w:val="475"/>
          <w:marRight w:val="0"/>
          <w:marTop w:val="86"/>
          <w:marBottom w:val="120"/>
          <w:divBdr>
            <w:top w:val="none" w:sz="0" w:space="0" w:color="auto"/>
            <w:left w:val="none" w:sz="0" w:space="0" w:color="auto"/>
            <w:bottom w:val="none" w:sz="0" w:space="0" w:color="auto"/>
            <w:right w:val="none" w:sz="0" w:space="0" w:color="auto"/>
          </w:divBdr>
        </w:div>
        <w:div w:id="1682775269">
          <w:marLeft w:val="475"/>
          <w:marRight w:val="0"/>
          <w:marTop w:val="86"/>
          <w:marBottom w:val="120"/>
          <w:divBdr>
            <w:top w:val="none" w:sz="0" w:space="0" w:color="auto"/>
            <w:left w:val="none" w:sz="0" w:space="0" w:color="auto"/>
            <w:bottom w:val="none" w:sz="0" w:space="0" w:color="auto"/>
            <w:right w:val="none" w:sz="0" w:space="0" w:color="auto"/>
          </w:divBdr>
        </w:div>
      </w:divsChild>
    </w:div>
    <w:div w:id="365982889">
      <w:bodyDiv w:val="1"/>
      <w:marLeft w:val="0"/>
      <w:marRight w:val="0"/>
      <w:marTop w:val="0"/>
      <w:marBottom w:val="0"/>
      <w:divBdr>
        <w:top w:val="none" w:sz="0" w:space="0" w:color="auto"/>
        <w:left w:val="none" w:sz="0" w:space="0" w:color="auto"/>
        <w:bottom w:val="none" w:sz="0" w:space="0" w:color="auto"/>
        <w:right w:val="none" w:sz="0" w:space="0" w:color="auto"/>
      </w:divBdr>
      <w:divsChild>
        <w:div w:id="37630937">
          <w:marLeft w:val="475"/>
          <w:marRight w:val="0"/>
          <w:marTop w:val="86"/>
          <w:marBottom w:val="120"/>
          <w:divBdr>
            <w:top w:val="none" w:sz="0" w:space="0" w:color="auto"/>
            <w:left w:val="none" w:sz="0" w:space="0" w:color="auto"/>
            <w:bottom w:val="none" w:sz="0" w:space="0" w:color="auto"/>
            <w:right w:val="none" w:sz="0" w:space="0" w:color="auto"/>
          </w:divBdr>
        </w:div>
        <w:div w:id="76902650">
          <w:marLeft w:val="475"/>
          <w:marRight w:val="0"/>
          <w:marTop w:val="86"/>
          <w:marBottom w:val="120"/>
          <w:divBdr>
            <w:top w:val="none" w:sz="0" w:space="0" w:color="auto"/>
            <w:left w:val="none" w:sz="0" w:space="0" w:color="auto"/>
            <w:bottom w:val="none" w:sz="0" w:space="0" w:color="auto"/>
            <w:right w:val="none" w:sz="0" w:space="0" w:color="auto"/>
          </w:divBdr>
        </w:div>
      </w:divsChild>
    </w:div>
    <w:div w:id="394209916">
      <w:bodyDiv w:val="1"/>
      <w:marLeft w:val="0"/>
      <w:marRight w:val="0"/>
      <w:marTop w:val="0"/>
      <w:marBottom w:val="0"/>
      <w:divBdr>
        <w:top w:val="none" w:sz="0" w:space="0" w:color="auto"/>
        <w:left w:val="none" w:sz="0" w:space="0" w:color="auto"/>
        <w:bottom w:val="none" w:sz="0" w:space="0" w:color="auto"/>
        <w:right w:val="none" w:sz="0" w:space="0" w:color="auto"/>
      </w:divBdr>
      <w:divsChild>
        <w:div w:id="753434226">
          <w:marLeft w:val="0"/>
          <w:marRight w:val="0"/>
          <w:marTop w:val="0"/>
          <w:marBottom w:val="0"/>
          <w:divBdr>
            <w:top w:val="none" w:sz="0" w:space="0" w:color="auto"/>
            <w:left w:val="none" w:sz="0" w:space="0" w:color="auto"/>
            <w:bottom w:val="none" w:sz="0" w:space="0" w:color="auto"/>
            <w:right w:val="none" w:sz="0" w:space="0" w:color="auto"/>
          </w:divBdr>
          <w:divsChild>
            <w:div w:id="362635074">
              <w:marLeft w:val="0"/>
              <w:marRight w:val="0"/>
              <w:marTop w:val="0"/>
              <w:marBottom w:val="0"/>
              <w:divBdr>
                <w:top w:val="none" w:sz="0" w:space="0" w:color="auto"/>
                <w:left w:val="none" w:sz="0" w:space="0" w:color="auto"/>
                <w:bottom w:val="none" w:sz="0" w:space="0" w:color="auto"/>
                <w:right w:val="none" w:sz="0" w:space="0" w:color="auto"/>
              </w:divBdr>
            </w:div>
            <w:div w:id="723020899">
              <w:marLeft w:val="0"/>
              <w:marRight w:val="0"/>
              <w:marTop w:val="0"/>
              <w:marBottom w:val="0"/>
              <w:divBdr>
                <w:top w:val="none" w:sz="0" w:space="0" w:color="auto"/>
                <w:left w:val="none" w:sz="0" w:space="0" w:color="auto"/>
                <w:bottom w:val="none" w:sz="0" w:space="0" w:color="auto"/>
                <w:right w:val="none" w:sz="0" w:space="0" w:color="auto"/>
              </w:divBdr>
            </w:div>
            <w:div w:id="179032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2928">
      <w:bodyDiv w:val="1"/>
      <w:marLeft w:val="0"/>
      <w:marRight w:val="0"/>
      <w:marTop w:val="0"/>
      <w:marBottom w:val="0"/>
      <w:divBdr>
        <w:top w:val="none" w:sz="0" w:space="0" w:color="auto"/>
        <w:left w:val="none" w:sz="0" w:space="0" w:color="auto"/>
        <w:bottom w:val="none" w:sz="0" w:space="0" w:color="auto"/>
        <w:right w:val="none" w:sz="0" w:space="0" w:color="auto"/>
      </w:divBdr>
    </w:div>
    <w:div w:id="430392619">
      <w:bodyDiv w:val="1"/>
      <w:marLeft w:val="0"/>
      <w:marRight w:val="0"/>
      <w:marTop w:val="0"/>
      <w:marBottom w:val="0"/>
      <w:divBdr>
        <w:top w:val="none" w:sz="0" w:space="0" w:color="auto"/>
        <w:left w:val="none" w:sz="0" w:space="0" w:color="auto"/>
        <w:bottom w:val="none" w:sz="0" w:space="0" w:color="auto"/>
        <w:right w:val="none" w:sz="0" w:space="0" w:color="auto"/>
      </w:divBdr>
    </w:div>
    <w:div w:id="451368567">
      <w:bodyDiv w:val="1"/>
      <w:marLeft w:val="0"/>
      <w:marRight w:val="0"/>
      <w:marTop w:val="0"/>
      <w:marBottom w:val="0"/>
      <w:divBdr>
        <w:top w:val="none" w:sz="0" w:space="0" w:color="auto"/>
        <w:left w:val="none" w:sz="0" w:space="0" w:color="auto"/>
        <w:bottom w:val="none" w:sz="0" w:space="0" w:color="auto"/>
        <w:right w:val="none" w:sz="0" w:space="0" w:color="auto"/>
      </w:divBdr>
    </w:div>
    <w:div w:id="487861424">
      <w:bodyDiv w:val="1"/>
      <w:marLeft w:val="0"/>
      <w:marRight w:val="0"/>
      <w:marTop w:val="0"/>
      <w:marBottom w:val="0"/>
      <w:divBdr>
        <w:top w:val="none" w:sz="0" w:space="0" w:color="auto"/>
        <w:left w:val="none" w:sz="0" w:space="0" w:color="auto"/>
        <w:bottom w:val="none" w:sz="0" w:space="0" w:color="auto"/>
        <w:right w:val="none" w:sz="0" w:space="0" w:color="auto"/>
      </w:divBdr>
      <w:divsChild>
        <w:div w:id="97605145">
          <w:marLeft w:val="0"/>
          <w:marRight w:val="0"/>
          <w:marTop w:val="0"/>
          <w:marBottom w:val="0"/>
          <w:divBdr>
            <w:top w:val="none" w:sz="0" w:space="0" w:color="auto"/>
            <w:left w:val="none" w:sz="0" w:space="0" w:color="auto"/>
            <w:bottom w:val="none" w:sz="0" w:space="0" w:color="auto"/>
            <w:right w:val="none" w:sz="0" w:space="0" w:color="auto"/>
          </w:divBdr>
          <w:divsChild>
            <w:div w:id="10181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9736">
      <w:bodyDiv w:val="1"/>
      <w:marLeft w:val="0"/>
      <w:marRight w:val="0"/>
      <w:marTop w:val="0"/>
      <w:marBottom w:val="0"/>
      <w:divBdr>
        <w:top w:val="none" w:sz="0" w:space="0" w:color="auto"/>
        <w:left w:val="none" w:sz="0" w:space="0" w:color="auto"/>
        <w:bottom w:val="none" w:sz="0" w:space="0" w:color="auto"/>
        <w:right w:val="none" w:sz="0" w:space="0" w:color="auto"/>
      </w:divBdr>
      <w:divsChild>
        <w:div w:id="1462961079">
          <w:marLeft w:val="0"/>
          <w:marRight w:val="0"/>
          <w:marTop w:val="0"/>
          <w:marBottom w:val="0"/>
          <w:divBdr>
            <w:top w:val="none" w:sz="0" w:space="0" w:color="auto"/>
            <w:left w:val="none" w:sz="0" w:space="0" w:color="auto"/>
            <w:bottom w:val="none" w:sz="0" w:space="0" w:color="auto"/>
            <w:right w:val="none" w:sz="0" w:space="0" w:color="auto"/>
          </w:divBdr>
          <w:divsChild>
            <w:div w:id="881865167">
              <w:marLeft w:val="0"/>
              <w:marRight w:val="0"/>
              <w:marTop w:val="0"/>
              <w:marBottom w:val="240"/>
              <w:divBdr>
                <w:top w:val="none" w:sz="0" w:space="0" w:color="auto"/>
                <w:left w:val="none" w:sz="0" w:space="0" w:color="auto"/>
                <w:bottom w:val="none" w:sz="0" w:space="0" w:color="auto"/>
                <w:right w:val="none" w:sz="0" w:space="0" w:color="auto"/>
              </w:divBdr>
            </w:div>
          </w:divsChild>
        </w:div>
        <w:div w:id="1534805185">
          <w:marLeft w:val="0"/>
          <w:marRight w:val="0"/>
          <w:marTop w:val="0"/>
          <w:marBottom w:val="0"/>
          <w:divBdr>
            <w:top w:val="none" w:sz="0" w:space="0" w:color="auto"/>
            <w:left w:val="none" w:sz="0" w:space="0" w:color="auto"/>
            <w:bottom w:val="none" w:sz="0" w:space="0" w:color="auto"/>
            <w:right w:val="none" w:sz="0" w:space="0" w:color="auto"/>
          </w:divBdr>
          <w:divsChild>
            <w:div w:id="934776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25754508">
      <w:bodyDiv w:val="1"/>
      <w:marLeft w:val="0"/>
      <w:marRight w:val="0"/>
      <w:marTop w:val="0"/>
      <w:marBottom w:val="0"/>
      <w:divBdr>
        <w:top w:val="none" w:sz="0" w:space="0" w:color="auto"/>
        <w:left w:val="none" w:sz="0" w:space="0" w:color="auto"/>
        <w:bottom w:val="none" w:sz="0" w:space="0" w:color="auto"/>
        <w:right w:val="none" w:sz="0" w:space="0" w:color="auto"/>
      </w:divBdr>
    </w:div>
    <w:div w:id="526984394">
      <w:bodyDiv w:val="1"/>
      <w:marLeft w:val="0"/>
      <w:marRight w:val="0"/>
      <w:marTop w:val="0"/>
      <w:marBottom w:val="0"/>
      <w:divBdr>
        <w:top w:val="none" w:sz="0" w:space="0" w:color="auto"/>
        <w:left w:val="none" w:sz="0" w:space="0" w:color="auto"/>
        <w:bottom w:val="none" w:sz="0" w:space="0" w:color="auto"/>
        <w:right w:val="none" w:sz="0" w:space="0" w:color="auto"/>
      </w:divBdr>
      <w:divsChild>
        <w:div w:id="1783382111">
          <w:marLeft w:val="0"/>
          <w:marRight w:val="0"/>
          <w:marTop w:val="0"/>
          <w:marBottom w:val="0"/>
          <w:divBdr>
            <w:top w:val="none" w:sz="0" w:space="0" w:color="auto"/>
            <w:left w:val="none" w:sz="0" w:space="0" w:color="auto"/>
            <w:bottom w:val="none" w:sz="0" w:space="0" w:color="auto"/>
            <w:right w:val="none" w:sz="0" w:space="0" w:color="auto"/>
          </w:divBdr>
        </w:div>
      </w:divsChild>
    </w:div>
    <w:div w:id="547029618">
      <w:bodyDiv w:val="1"/>
      <w:marLeft w:val="0"/>
      <w:marRight w:val="0"/>
      <w:marTop w:val="0"/>
      <w:marBottom w:val="0"/>
      <w:divBdr>
        <w:top w:val="none" w:sz="0" w:space="0" w:color="auto"/>
        <w:left w:val="none" w:sz="0" w:space="0" w:color="auto"/>
        <w:bottom w:val="none" w:sz="0" w:space="0" w:color="auto"/>
        <w:right w:val="none" w:sz="0" w:space="0" w:color="auto"/>
      </w:divBdr>
    </w:div>
    <w:div w:id="553473038">
      <w:bodyDiv w:val="1"/>
      <w:marLeft w:val="0"/>
      <w:marRight w:val="0"/>
      <w:marTop w:val="0"/>
      <w:marBottom w:val="0"/>
      <w:divBdr>
        <w:top w:val="none" w:sz="0" w:space="0" w:color="auto"/>
        <w:left w:val="none" w:sz="0" w:space="0" w:color="auto"/>
        <w:bottom w:val="none" w:sz="0" w:space="0" w:color="auto"/>
        <w:right w:val="none" w:sz="0" w:space="0" w:color="auto"/>
      </w:divBdr>
    </w:div>
    <w:div w:id="569195007">
      <w:bodyDiv w:val="1"/>
      <w:marLeft w:val="0"/>
      <w:marRight w:val="0"/>
      <w:marTop w:val="0"/>
      <w:marBottom w:val="0"/>
      <w:divBdr>
        <w:top w:val="none" w:sz="0" w:space="0" w:color="auto"/>
        <w:left w:val="none" w:sz="0" w:space="0" w:color="auto"/>
        <w:bottom w:val="none" w:sz="0" w:space="0" w:color="auto"/>
        <w:right w:val="none" w:sz="0" w:space="0" w:color="auto"/>
      </w:divBdr>
    </w:div>
    <w:div w:id="604189647">
      <w:bodyDiv w:val="1"/>
      <w:marLeft w:val="0"/>
      <w:marRight w:val="0"/>
      <w:marTop w:val="0"/>
      <w:marBottom w:val="0"/>
      <w:divBdr>
        <w:top w:val="none" w:sz="0" w:space="0" w:color="auto"/>
        <w:left w:val="none" w:sz="0" w:space="0" w:color="auto"/>
        <w:bottom w:val="none" w:sz="0" w:space="0" w:color="auto"/>
        <w:right w:val="none" w:sz="0" w:space="0" w:color="auto"/>
      </w:divBdr>
      <w:divsChild>
        <w:div w:id="1232739658">
          <w:marLeft w:val="0"/>
          <w:marRight w:val="0"/>
          <w:marTop w:val="0"/>
          <w:marBottom w:val="0"/>
          <w:divBdr>
            <w:top w:val="none" w:sz="0" w:space="0" w:color="auto"/>
            <w:left w:val="none" w:sz="0" w:space="0" w:color="auto"/>
            <w:bottom w:val="none" w:sz="0" w:space="0" w:color="auto"/>
            <w:right w:val="none" w:sz="0" w:space="0" w:color="auto"/>
          </w:divBdr>
          <w:divsChild>
            <w:div w:id="20911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4051">
      <w:bodyDiv w:val="1"/>
      <w:marLeft w:val="0"/>
      <w:marRight w:val="0"/>
      <w:marTop w:val="0"/>
      <w:marBottom w:val="0"/>
      <w:divBdr>
        <w:top w:val="none" w:sz="0" w:space="0" w:color="auto"/>
        <w:left w:val="none" w:sz="0" w:space="0" w:color="auto"/>
        <w:bottom w:val="none" w:sz="0" w:space="0" w:color="auto"/>
        <w:right w:val="none" w:sz="0" w:space="0" w:color="auto"/>
      </w:divBdr>
      <w:divsChild>
        <w:div w:id="1461538425">
          <w:marLeft w:val="0"/>
          <w:marRight w:val="0"/>
          <w:marTop w:val="0"/>
          <w:marBottom w:val="0"/>
          <w:divBdr>
            <w:top w:val="none" w:sz="0" w:space="0" w:color="auto"/>
            <w:left w:val="none" w:sz="0" w:space="0" w:color="auto"/>
            <w:bottom w:val="none" w:sz="0" w:space="0" w:color="auto"/>
            <w:right w:val="none" w:sz="0" w:space="0" w:color="auto"/>
          </w:divBdr>
        </w:div>
      </w:divsChild>
    </w:div>
    <w:div w:id="609434994">
      <w:bodyDiv w:val="1"/>
      <w:marLeft w:val="0"/>
      <w:marRight w:val="0"/>
      <w:marTop w:val="0"/>
      <w:marBottom w:val="0"/>
      <w:divBdr>
        <w:top w:val="none" w:sz="0" w:space="0" w:color="auto"/>
        <w:left w:val="none" w:sz="0" w:space="0" w:color="auto"/>
        <w:bottom w:val="none" w:sz="0" w:space="0" w:color="auto"/>
        <w:right w:val="none" w:sz="0" w:space="0" w:color="auto"/>
      </w:divBdr>
      <w:divsChild>
        <w:div w:id="178354058">
          <w:marLeft w:val="0"/>
          <w:marRight w:val="0"/>
          <w:marTop w:val="0"/>
          <w:marBottom w:val="0"/>
          <w:divBdr>
            <w:top w:val="none" w:sz="0" w:space="0" w:color="auto"/>
            <w:left w:val="none" w:sz="0" w:space="0" w:color="auto"/>
            <w:bottom w:val="none" w:sz="0" w:space="0" w:color="auto"/>
            <w:right w:val="none" w:sz="0" w:space="0" w:color="auto"/>
          </w:divBdr>
        </w:div>
        <w:div w:id="651641075">
          <w:marLeft w:val="0"/>
          <w:marRight w:val="0"/>
          <w:marTop w:val="0"/>
          <w:marBottom w:val="0"/>
          <w:divBdr>
            <w:top w:val="none" w:sz="0" w:space="0" w:color="auto"/>
            <w:left w:val="none" w:sz="0" w:space="0" w:color="auto"/>
            <w:bottom w:val="none" w:sz="0" w:space="0" w:color="auto"/>
            <w:right w:val="none" w:sz="0" w:space="0" w:color="auto"/>
          </w:divBdr>
        </w:div>
        <w:div w:id="1020006650">
          <w:marLeft w:val="0"/>
          <w:marRight w:val="0"/>
          <w:marTop w:val="0"/>
          <w:marBottom w:val="0"/>
          <w:divBdr>
            <w:top w:val="none" w:sz="0" w:space="0" w:color="auto"/>
            <w:left w:val="none" w:sz="0" w:space="0" w:color="auto"/>
            <w:bottom w:val="none" w:sz="0" w:space="0" w:color="auto"/>
            <w:right w:val="none" w:sz="0" w:space="0" w:color="auto"/>
          </w:divBdr>
        </w:div>
        <w:div w:id="1090078642">
          <w:marLeft w:val="0"/>
          <w:marRight w:val="0"/>
          <w:marTop w:val="0"/>
          <w:marBottom w:val="0"/>
          <w:divBdr>
            <w:top w:val="none" w:sz="0" w:space="0" w:color="auto"/>
            <w:left w:val="none" w:sz="0" w:space="0" w:color="auto"/>
            <w:bottom w:val="none" w:sz="0" w:space="0" w:color="auto"/>
            <w:right w:val="none" w:sz="0" w:space="0" w:color="auto"/>
          </w:divBdr>
        </w:div>
        <w:div w:id="1152984630">
          <w:marLeft w:val="0"/>
          <w:marRight w:val="0"/>
          <w:marTop w:val="0"/>
          <w:marBottom w:val="0"/>
          <w:divBdr>
            <w:top w:val="none" w:sz="0" w:space="0" w:color="auto"/>
            <w:left w:val="none" w:sz="0" w:space="0" w:color="auto"/>
            <w:bottom w:val="none" w:sz="0" w:space="0" w:color="auto"/>
            <w:right w:val="none" w:sz="0" w:space="0" w:color="auto"/>
          </w:divBdr>
        </w:div>
        <w:div w:id="1649049082">
          <w:marLeft w:val="0"/>
          <w:marRight w:val="0"/>
          <w:marTop w:val="0"/>
          <w:marBottom w:val="0"/>
          <w:divBdr>
            <w:top w:val="none" w:sz="0" w:space="0" w:color="auto"/>
            <w:left w:val="none" w:sz="0" w:space="0" w:color="auto"/>
            <w:bottom w:val="none" w:sz="0" w:space="0" w:color="auto"/>
            <w:right w:val="none" w:sz="0" w:space="0" w:color="auto"/>
          </w:divBdr>
        </w:div>
        <w:div w:id="1848016109">
          <w:marLeft w:val="0"/>
          <w:marRight w:val="0"/>
          <w:marTop w:val="0"/>
          <w:marBottom w:val="0"/>
          <w:divBdr>
            <w:top w:val="none" w:sz="0" w:space="0" w:color="auto"/>
            <w:left w:val="none" w:sz="0" w:space="0" w:color="auto"/>
            <w:bottom w:val="none" w:sz="0" w:space="0" w:color="auto"/>
            <w:right w:val="none" w:sz="0" w:space="0" w:color="auto"/>
          </w:divBdr>
        </w:div>
      </w:divsChild>
    </w:div>
    <w:div w:id="632908526">
      <w:bodyDiv w:val="1"/>
      <w:marLeft w:val="0"/>
      <w:marRight w:val="0"/>
      <w:marTop w:val="0"/>
      <w:marBottom w:val="0"/>
      <w:divBdr>
        <w:top w:val="none" w:sz="0" w:space="0" w:color="auto"/>
        <w:left w:val="none" w:sz="0" w:space="0" w:color="auto"/>
        <w:bottom w:val="none" w:sz="0" w:space="0" w:color="auto"/>
        <w:right w:val="none" w:sz="0" w:space="0" w:color="auto"/>
      </w:divBdr>
      <w:divsChild>
        <w:div w:id="1339967390">
          <w:marLeft w:val="0"/>
          <w:marRight w:val="0"/>
          <w:marTop w:val="0"/>
          <w:marBottom w:val="0"/>
          <w:divBdr>
            <w:top w:val="none" w:sz="0" w:space="0" w:color="auto"/>
            <w:left w:val="none" w:sz="0" w:space="0" w:color="auto"/>
            <w:bottom w:val="none" w:sz="0" w:space="0" w:color="auto"/>
            <w:right w:val="none" w:sz="0" w:space="0" w:color="auto"/>
          </w:divBdr>
          <w:divsChild>
            <w:div w:id="16083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8765">
      <w:bodyDiv w:val="1"/>
      <w:marLeft w:val="0"/>
      <w:marRight w:val="0"/>
      <w:marTop w:val="0"/>
      <w:marBottom w:val="0"/>
      <w:divBdr>
        <w:top w:val="none" w:sz="0" w:space="0" w:color="auto"/>
        <w:left w:val="none" w:sz="0" w:space="0" w:color="auto"/>
        <w:bottom w:val="none" w:sz="0" w:space="0" w:color="auto"/>
        <w:right w:val="none" w:sz="0" w:space="0" w:color="auto"/>
      </w:divBdr>
    </w:div>
    <w:div w:id="676469721">
      <w:bodyDiv w:val="1"/>
      <w:marLeft w:val="0"/>
      <w:marRight w:val="0"/>
      <w:marTop w:val="0"/>
      <w:marBottom w:val="0"/>
      <w:divBdr>
        <w:top w:val="none" w:sz="0" w:space="0" w:color="auto"/>
        <w:left w:val="none" w:sz="0" w:space="0" w:color="auto"/>
        <w:bottom w:val="none" w:sz="0" w:space="0" w:color="auto"/>
        <w:right w:val="none" w:sz="0" w:space="0" w:color="auto"/>
      </w:divBdr>
    </w:div>
    <w:div w:id="702635283">
      <w:bodyDiv w:val="1"/>
      <w:marLeft w:val="0"/>
      <w:marRight w:val="0"/>
      <w:marTop w:val="0"/>
      <w:marBottom w:val="0"/>
      <w:divBdr>
        <w:top w:val="none" w:sz="0" w:space="0" w:color="auto"/>
        <w:left w:val="none" w:sz="0" w:space="0" w:color="auto"/>
        <w:bottom w:val="none" w:sz="0" w:space="0" w:color="auto"/>
        <w:right w:val="none" w:sz="0" w:space="0" w:color="auto"/>
      </w:divBdr>
      <w:divsChild>
        <w:div w:id="161050463">
          <w:marLeft w:val="0"/>
          <w:marRight w:val="0"/>
          <w:marTop w:val="0"/>
          <w:marBottom w:val="0"/>
          <w:divBdr>
            <w:top w:val="none" w:sz="0" w:space="0" w:color="auto"/>
            <w:left w:val="none" w:sz="0" w:space="0" w:color="auto"/>
            <w:bottom w:val="none" w:sz="0" w:space="0" w:color="auto"/>
            <w:right w:val="none" w:sz="0" w:space="0" w:color="auto"/>
          </w:divBdr>
        </w:div>
        <w:div w:id="1718120616">
          <w:marLeft w:val="0"/>
          <w:marRight w:val="0"/>
          <w:marTop w:val="0"/>
          <w:marBottom w:val="0"/>
          <w:divBdr>
            <w:top w:val="none" w:sz="0" w:space="0" w:color="auto"/>
            <w:left w:val="none" w:sz="0" w:space="0" w:color="auto"/>
            <w:bottom w:val="none" w:sz="0" w:space="0" w:color="auto"/>
            <w:right w:val="none" w:sz="0" w:space="0" w:color="auto"/>
          </w:divBdr>
        </w:div>
        <w:div w:id="2097088038">
          <w:marLeft w:val="0"/>
          <w:marRight w:val="0"/>
          <w:marTop w:val="0"/>
          <w:marBottom w:val="0"/>
          <w:divBdr>
            <w:top w:val="none" w:sz="0" w:space="0" w:color="auto"/>
            <w:left w:val="none" w:sz="0" w:space="0" w:color="auto"/>
            <w:bottom w:val="none" w:sz="0" w:space="0" w:color="auto"/>
            <w:right w:val="none" w:sz="0" w:space="0" w:color="auto"/>
          </w:divBdr>
        </w:div>
      </w:divsChild>
    </w:div>
    <w:div w:id="705451410">
      <w:bodyDiv w:val="1"/>
      <w:marLeft w:val="0"/>
      <w:marRight w:val="0"/>
      <w:marTop w:val="0"/>
      <w:marBottom w:val="0"/>
      <w:divBdr>
        <w:top w:val="none" w:sz="0" w:space="0" w:color="auto"/>
        <w:left w:val="none" w:sz="0" w:space="0" w:color="auto"/>
        <w:bottom w:val="none" w:sz="0" w:space="0" w:color="auto"/>
        <w:right w:val="none" w:sz="0" w:space="0" w:color="auto"/>
      </w:divBdr>
    </w:div>
    <w:div w:id="722480416">
      <w:bodyDiv w:val="1"/>
      <w:marLeft w:val="0"/>
      <w:marRight w:val="0"/>
      <w:marTop w:val="0"/>
      <w:marBottom w:val="0"/>
      <w:divBdr>
        <w:top w:val="none" w:sz="0" w:space="0" w:color="auto"/>
        <w:left w:val="none" w:sz="0" w:space="0" w:color="auto"/>
        <w:bottom w:val="none" w:sz="0" w:space="0" w:color="auto"/>
        <w:right w:val="none" w:sz="0" w:space="0" w:color="auto"/>
      </w:divBdr>
    </w:div>
    <w:div w:id="745958024">
      <w:bodyDiv w:val="1"/>
      <w:marLeft w:val="0"/>
      <w:marRight w:val="0"/>
      <w:marTop w:val="0"/>
      <w:marBottom w:val="0"/>
      <w:divBdr>
        <w:top w:val="none" w:sz="0" w:space="0" w:color="auto"/>
        <w:left w:val="none" w:sz="0" w:space="0" w:color="auto"/>
        <w:bottom w:val="none" w:sz="0" w:space="0" w:color="auto"/>
        <w:right w:val="none" w:sz="0" w:space="0" w:color="auto"/>
      </w:divBdr>
    </w:div>
    <w:div w:id="745997335">
      <w:bodyDiv w:val="1"/>
      <w:marLeft w:val="0"/>
      <w:marRight w:val="0"/>
      <w:marTop w:val="0"/>
      <w:marBottom w:val="0"/>
      <w:divBdr>
        <w:top w:val="none" w:sz="0" w:space="0" w:color="auto"/>
        <w:left w:val="none" w:sz="0" w:space="0" w:color="auto"/>
        <w:bottom w:val="none" w:sz="0" w:space="0" w:color="auto"/>
        <w:right w:val="none" w:sz="0" w:space="0" w:color="auto"/>
      </w:divBdr>
    </w:div>
    <w:div w:id="790132490">
      <w:bodyDiv w:val="1"/>
      <w:marLeft w:val="0"/>
      <w:marRight w:val="0"/>
      <w:marTop w:val="0"/>
      <w:marBottom w:val="0"/>
      <w:divBdr>
        <w:top w:val="none" w:sz="0" w:space="0" w:color="auto"/>
        <w:left w:val="none" w:sz="0" w:space="0" w:color="auto"/>
        <w:bottom w:val="none" w:sz="0" w:space="0" w:color="auto"/>
        <w:right w:val="none" w:sz="0" w:space="0" w:color="auto"/>
      </w:divBdr>
    </w:div>
    <w:div w:id="802770244">
      <w:bodyDiv w:val="1"/>
      <w:marLeft w:val="0"/>
      <w:marRight w:val="0"/>
      <w:marTop w:val="0"/>
      <w:marBottom w:val="0"/>
      <w:divBdr>
        <w:top w:val="none" w:sz="0" w:space="0" w:color="auto"/>
        <w:left w:val="none" w:sz="0" w:space="0" w:color="auto"/>
        <w:bottom w:val="none" w:sz="0" w:space="0" w:color="auto"/>
        <w:right w:val="none" w:sz="0" w:space="0" w:color="auto"/>
      </w:divBdr>
    </w:div>
    <w:div w:id="818813725">
      <w:bodyDiv w:val="1"/>
      <w:marLeft w:val="0"/>
      <w:marRight w:val="0"/>
      <w:marTop w:val="0"/>
      <w:marBottom w:val="0"/>
      <w:divBdr>
        <w:top w:val="none" w:sz="0" w:space="0" w:color="auto"/>
        <w:left w:val="none" w:sz="0" w:space="0" w:color="auto"/>
        <w:bottom w:val="none" w:sz="0" w:space="0" w:color="auto"/>
        <w:right w:val="none" w:sz="0" w:space="0" w:color="auto"/>
      </w:divBdr>
    </w:div>
    <w:div w:id="846601226">
      <w:bodyDiv w:val="1"/>
      <w:marLeft w:val="0"/>
      <w:marRight w:val="0"/>
      <w:marTop w:val="0"/>
      <w:marBottom w:val="0"/>
      <w:divBdr>
        <w:top w:val="none" w:sz="0" w:space="0" w:color="auto"/>
        <w:left w:val="none" w:sz="0" w:space="0" w:color="auto"/>
        <w:bottom w:val="none" w:sz="0" w:space="0" w:color="auto"/>
        <w:right w:val="none" w:sz="0" w:space="0" w:color="auto"/>
      </w:divBdr>
      <w:divsChild>
        <w:div w:id="1533768203">
          <w:marLeft w:val="0"/>
          <w:marRight w:val="0"/>
          <w:marTop w:val="0"/>
          <w:marBottom w:val="0"/>
          <w:divBdr>
            <w:top w:val="none" w:sz="0" w:space="0" w:color="auto"/>
            <w:left w:val="none" w:sz="0" w:space="0" w:color="auto"/>
            <w:bottom w:val="none" w:sz="0" w:space="0" w:color="auto"/>
            <w:right w:val="none" w:sz="0" w:space="0" w:color="auto"/>
          </w:divBdr>
          <w:divsChild>
            <w:div w:id="19561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14872">
      <w:bodyDiv w:val="1"/>
      <w:marLeft w:val="0"/>
      <w:marRight w:val="0"/>
      <w:marTop w:val="0"/>
      <w:marBottom w:val="0"/>
      <w:divBdr>
        <w:top w:val="none" w:sz="0" w:space="0" w:color="auto"/>
        <w:left w:val="none" w:sz="0" w:space="0" w:color="auto"/>
        <w:bottom w:val="none" w:sz="0" w:space="0" w:color="auto"/>
        <w:right w:val="none" w:sz="0" w:space="0" w:color="auto"/>
      </w:divBdr>
    </w:div>
    <w:div w:id="848448014">
      <w:bodyDiv w:val="1"/>
      <w:marLeft w:val="0"/>
      <w:marRight w:val="0"/>
      <w:marTop w:val="0"/>
      <w:marBottom w:val="0"/>
      <w:divBdr>
        <w:top w:val="none" w:sz="0" w:space="0" w:color="auto"/>
        <w:left w:val="none" w:sz="0" w:space="0" w:color="auto"/>
        <w:bottom w:val="none" w:sz="0" w:space="0" w:color="auto"/>
        <w:right w:val="none" w:sz="0" w:space="0" w:color="auto"/>
      </w:divBdr>
      <w:divsChild>
        <w:div w:id="1366326275">
          <w:marLeft w:val="0"/>
          <w:marRight w:val="0"/>
          <w:marTop w:val="0"/>
          <w:marBottom w:val="0"/>
          <w:divBdr>
            <w:top w:val="none" w:sz="0" w:space="0" w:color="auto"/>
            <w:left w:val="none" w:sz="0" w:space="0" w:color="auto"/>
            <w:bottom w:val="none" w:sz="0" w:space="0" w:color="auto"/>
            <w:right w:val="none" w:sz="0" w:space="0" w:color="auto"/>
          </w:divBdr>
          <w:divsChild>
            <w:div w:id="590354189">
              <w:marLeft w:val="0"/>
              <w:marRight w:val="0"/>
              <w:marTop w:val="0"/>
              <w:marBottom w:val="0"/>
              <w:divBdr>
                <w:top w:val="none" w:sz="0" w:space="0" w:color="auto"/>
                <w:left w:val="none" w:sz="0" w:space="0" w:color="auto"/>
                <w:bottom w:val="none" w:sz="0" w:space="0" w:color="auto"/>
                <w:right w:val="none" w:sz="0" w:space="0" w:color="auto"/>
              </w:divBdr>
              <w:divsChild>
                <w:div w:id="228611176">
                  <w:marLeft w:val="0"/>
                  <w:marRight w:val="0"/>
                  <w:marTop w:val="0"/>
                  <w:marBottom w:val="0"/>
                  <w:divBdr>
                    <w:top w:val="none" w:sz="0" w:space="0" w:color="auto"/>
                    <w:left w:val="none" w:sz="0" w:space="0" w:color="auto"/>
                    <w:bottom w:val="none" w:sz="0" w:space="0" w:color="auto"/>
                    <w:right w:val="none" w:sz="0" w:space="0" w:color="auto"/>
                  </w:divBdr>
                  <w:divsChild>
                    <w:div w:id="591282224">
                      <w:marLeft w:val="0"/>
                      <w:marRight w:val="0"/>
                      <w:marTop w:val="0"/>
                      <w:marBottom w:val="0"/>
                      <w:divBdr>
                        <w:top w:val="none" w:sz="0" w:space="0" w:color="auto"/>
                        <w:left w:val="none" w:sz="0" w:space="0" w:color="auto"/>
                        <w:bottom w:val="none" w:sz="0" w:space="0" w:color="auto"/>
                        <w:right w:val="none" w:sz="0" w:space="0" w:color="auto"/>
                      </w:divBdr>
                    </w:div>
                  </w:divsChild>
                </w:div>
                <w:div w:id="709915180">
                  <w:marLeft w:val="0"/>
                  <w:marRight w:val="0"/>
                  <w:marTop w:val="0"/>
                  <w:marBottom w:val="0"/>
                  <w:divBdr>
                    <w:top w:val="none" w:sz="0" w:space="0" w:color="auto"/>
                    <w:left w:val="none" w:sz="0" w:space="0" w:color="auto"/>
                    <w:bottom w:val="none" w:sz="0" w:space="0" w:color="auto"/>
                    <w:right w:val="none" w:sz="0" w:space="0" w:color="auto"/>
                  </w:divBdr>
                  <w:divsChild>
                    <w:div w:id="1514806959">
                      <w:marLeft w:val="0"/>
                      <w:marRight w:val="0"/>
                      <w:marTop w:val="0"/>
                      <w:marBottom w:val="0"/>
                      <w:divBdr>
                        <w:top w:val="none" w:sz="0" w:space="0" w:color="auto"/>
                        <w:left w:val="none" w:sz="0" w:space="0" w:color="auto"/>
                        <w:bottom w:val="none" w:sz="0" w:space="0" w:color="auto"/>
                        <w:right w:val="none" w:sz="0" w:space="0" w:color="auto"/>
                      </w:divBdr>
                    </w:div>
                  </w:divsChild>
                </w:div>
                <w:div w:id="1476222157">
                  <w:marLeft w:val="0"/>
                  <w:marRight w:val="0"/>
                  <w:marTop w:val="0"/>
                  <w:marBottom w:val="0"/>
                  <w:divBdr>
                    <w:top w:val="none" w:sz="0" w:space="0" w:color="auto"/>
                    <w:left w:val="none" w:sz="0" w:space="0" w:color="auto"/>
                    <w:bottom w:val="none" w:sz="0" w:space="0" w:color="auto"/>
                    <w:right w:val="none" w:sz="0" w:space="0" w:color="auto"/>
                  </w:divBdr>
                  <w:divsChild>
                    <w:div w:id="188583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12180">
      <w:bodyDiv w:val="1"/>
      <w:marLeft w:val="0"/>
      <w:marRight w:val="0"/>
      <w:marTop w:val="0"/>
      <w:marBottom w:val="0"/>
      <w:divBdr>
        <w:top w:val="none" w:sz="0" w:space="0" w:color="auto"/>
        <w:left w:val="none" w:sz="0" w:space="0" w:color="auto"/>
        <w:bottom w:val="none" w:sz="0" w:space="0" w:color="auto"/>
        <w:right w:val="none" w:sz="0" w:space="0" w:color="auto"/>
      </w:divBdr>
      <w:divsChild>
        <w:div w:id="2036616542">
          <w:marLeft w:val="0"/>
          <w:marRight w:val="0"/>
          <w:marTop w:val="0"/>
          <w:marBottom w:val="0"/>
          <w:divBdr>
            <w:top w:val="none" w:sz="0" w:space="0" w:color="auto"/>
            <w:left w:val="none" w:sz="0" w:space="0" w:color="auto"/>
            <w:bottom w:val="none" w:sz="0" w:space="0" w:color="auto"/>
            <w:right w:val="none" w:sz="0" w:space="0" w:color="auto"/>
          </w:divBdr>
          <w:divsChild>
            <w:div w:id="141304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6505">
      <w:bodyDiv w:val="1"/>
      <w:marLeft w:val="0"/>
      <w:marRight w:val="0"/>
      <w:marTop w:val="0"/>
      <w:marBottom w:val="0"/>
      <w:divBdr>
        <w:top w:val="none" w:sz="0" w:space="0" w:color="auto"/>
        <w:left w:val="none" w:sz="0" w:space="0" w:color="auto"/>
        <w:bottom w:val="none" w:sz="0" w:space="0" w:color="auto"/>
        <w:right w:val="none" w:sz="0" w:space="0" w:color="auto"/>
      </w:divBdr>
    </w:div>
    <w:div w:id="887886259">
      <w:bodyDiv w:val="1"/>
      <w:marLeft w:val="0"/>
      <w:marRight w:val="0"/>
      <w:marTop w:val="0"/>
      <w:marBottom w:val="0"/>
      <w:divBdr>
        <w:top w:val="none" w:sz="0" w:space="0" w:color="auto"/>
        <w:left w:val="none" w:sz="0" w:space="0" w:color="auto"/>
        <w:bottom w:val="none" w:sz="0" w:space="0" w:color="auto"/>
        <w:right w:val="none" w:sz="0" w:space="0" w:color="auto"/>
      </w:divBdr>
      <w:divsChild>
        <w:div w:id="1717970754">
          <w:marLeft w:val="0"/>
          <w:marRight w:val="0"/>
          <w:marTop w:val="0"/>
          <w:marBottom w:val="0"/>
          <w:divBdr>
            <w:top w:val="none" w:sz="0" w:space="0" w:color="auto"/>
            <w:left w:val="none" w:sz="0" w:space="0" w:color="auto"/>
            <w:bottom w:val="none" w:sz="0" w:space="0" w:color="auto"/>
            <w:right w:val="none" w:sz="0" w:space="0" w:color="auto"/>
          </w:divBdr>
          <w:divsChild>
            <w:div w:id="3514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94047">
      <w:bodyDiv w:val="1"/>
      <w:marLeft w:val="0"/>
      <w:marRight w:val="0"/>
      <w:marTop w:val="0"/>
      <w:marBottom w:val="0"/>
      <w:divBdr>
        <w:top w:val="none" w:sz="0" w:space="0" w:color="auto"/>
        <w:left w:val="none" w:sz="0" w:space="0" w:color="auto"/>
        <w:bottom w:val="none" w:sz="0" w:space="0" w:color="auto"/>
        <w:right w:val="none" w:sz="0" w:space="0" w:color="auto"/>
      </w:divBdr>
    </w:div>
    <w:div w:id="908884062">
      <w:bodyDiv w:val="1"/>
      <w:marLeft w:val="0"/>
      <w:marRight w:val="0"/>
      <w:marTop w:val="0"/>
      <w:marBottom w:val="0"/>
      <w:divBdr>
        <w:top w:val="none" w:sz="0" w:space="0" w:color="auto"/>
        <w:left w:val="none" w:sz="0" w:space="0" w:color="auto"/>
        <w:bottom w:val="none" w:sz="0" w:space="0" w:color="auto"/>
        <w:right w:val="none" w:sz="0" w:space="0" w:color="auto"/>
      </w:divBdr>
    </w:div>
    <w:div w:id="917058327">
      <w:bodyDiv w:val="1"/>
      <w:marLeft w:val="0"/>
      <w:marRight w:val="0"/>
      <w:marTop w:val="0"/>
      <w:marBottom w:val="0"/>
      <w:divBdr>
        <w:top w:val="none" w:sz="0" w:space="0" w:color="auto"/>
        <w:left w:val="none" w:sz="0" w:space="0" w:color="auto"/>
        <w:bottom w:val="none" w:sz="0" w:space="0" w:color="auto"/>
        <w:right w:val="none" w:sz="0" w:space="0" w:color="auto"/>
      </w:divBdr>
    </w:div>
    <w:div w:id="918321434">
      <w:bodyDiv w:val="1"/>
      <w:marLeft w:val="0"/>
      <w:marRight w:val="0"/>
      <w:marTop w:val="0"/>
      <w:marBottom w:val="0"/>
      <w:divBdr>
        <w:top w:val="none" w:sz="0" w:space="0" w:color="auto"/>
        <w:left w:val="none" w:sz="0" w:space="0" w:color="auto"/>
        <w:bottom w:val="none" w:sz="0" w:space="0" w:color="auto"/>
        <w:right w:val="none" w:sz="0" w:space="0" w:color="auto"/>
      </w:divBdr>
      <w:divsChild>
        <w:div w:id="2026470233">
          <w:marLeft w:val="0"/>
          <w:marRight w:val="0"/>
          <w:marTop w:val="0"/>
          <w:marBottom w:val="0"/>
          <w:divBdr>
            <w:top w:val="none" w:sz="0" w:space="0" w:color="auto"/>
            <w:left w:val="none" w:sz="0" w:space="0" w:color="auto"/>
            <w:bottom w:val="none" w:sz="0" w:space="0" w:color="auto"/>
            <w:right w:val="none" w:sz="0" w:space="0" w:color="auto"/>
          </w:divBdr>
        </w:div>
      </w:divsChild>
    </w:div>
    <w:div w:id="943265627">
      <w:bodyDiv w:val="1"/>
      <w:marLeft w:val="0"/>
      <w:marRight w:val="0"/>
      <w:marTop w:val="0"/>
      <w:marBottom w:val="0"/>
      <w:divBdr>
        <w:top w:val="none" w:sz="0" w:space="0" w:color="auto"/>
        <w:left w:val="none" w:sz="0" w:space="0" w:color="auto"/>
        <w:bottom w:val="none" w:sz="0" w:space="0" w:color="auto"/>
        <w:right w:val="none" w:sz="0" w:space="0" w:color="auto"/>
      </w:divBdr>
    </w:div>
    <w:div w:id="954287909">
      <w:bodyDiv w:val="1"/>
      <w:marLeft w:val="0"/>
      <w:marRight w:val="0"/>
      <w:marTop w:val="0"/>
      <w:marBottom w:val="0"/>
      <w:divBdr>
        <w:top w:val="none" w:sz="0" w:space="0" w:color="auto"/>
        <w:left w:val="none" w:sz="0" w:space="0" w:color="auto"/>
        <w:bottom w:val="none" w:sz="0" w:space="0" w:color="auto"/>
        <w:right w:val="none" w:sz="0" w:space="0" w:color="auto"/>
      </w:divBdr>
      <w:divsChild>
        <w:div w:id="1283461446">
          <w:marLeft w:val="0"/>
          <w:marRight w:val="0"/>
          <w:marTop w:val="0"/>
          <w:marBottom w:val="0"/>
          <w:divBdr>
            <w:top w:val="none" w:sz="0" w:space="0" w:color="auto"/>
            <w:left w:val="none" w:sz="0" w:space="0" w:color="auto"/>
            <w:bottom w:val="none" w:sz="0" w:space="0" w:color="auto"/>
            <w:right w:val="none" w:sz="0" w:space="0" w:color="auto"/>
          </w:divBdr>
        </w:div>
        <w:div w:id="1463814574">
          <w:marLeft w:val="0"/>
          <w:marRight w:val="0"/>
          <w:marTop w:val="0"/>
          <w:marBottom w:val="0"/>
          <w:divBdr>
            <w:top w:val="none" w:sz="0" w:space="0" w:color="auto"/>
            <w:left w:val="none" w:sz="0" w:space="0" w:color="auto"/>
            <w:bottom w:val="none" w:sz="0" w:space="0" w:color="auto"/>
            <w:right w:val="none" w:sz="0" w:space="0" w:color="auto"/>
          </w:divBdr>
        </w:div>
        <w:div w:id="1489133040">
          <w:marLeft w:val="0"/>
          <w:marRight w:val="0"/>
          <w:marTop w:val="0"/>
          <w:marBottom w:val="0"/>
          <w:divBdr>
            <w:top w:val="none" w:sz="0" w:space="0" w:color="auto"/>
            <w:left w:val="none" w:sz="0" w:space="0" w:color="auto"/>
            <w:bottom w:val="none" w:sz="0" w:space="0" w:color="auto"/>
            <w:right w:val="none" w:sz="0" w:space="0" w:color="auto"/>
          </w:divBdr>
        </w:div>
        <w:div w:id="1822303577">
          <w:marLeft w:val="0"/>
          <w:marRight w:val="0"/>
          <w:marTop w:val="0"/>
          <w:marBottom w:val="0"/>
          <w:divBdr>
            <w:top w:val="none" w:sz="0" w:space="0" w:color="auto"/>
            <w:left w:val="none" w:sz="0" w:space="0" w:color="auto"/>
            <w:bottom w:val="none" w:sz="0" w:space="0" w:color="auto"/>
            <w:right w:val="none" w:sz="0" w:space="0" w:color="auto"/>
          </w:divBdr>
        </w:div>
      </w:divsChild>
    </w:div>
    <w:div w:id="965353923">
      <w:bodyDiv w:val="1"/>
      <w:marLeft w:val="0"/>
      <w:marRight w:val="0"/>
      <w:marTop w:val="0"/>
      <w:marBottom w:val="0"/>
      <w:divBdr>
        <w:top w:val="none" w:sz="0" w:space="0" w:color="auto"/>
        <w:left w:val="none" w:sz="0" w:space="0" w:color="auto"/>
        <w:bottom w:val="none" w:sz="0" w:space="0" w:color="auto"/>
        <w:right w:val="none" w:sz="0" w:space="0" w:color="auto"/>
      </w:divBdr>
    </w:div>
    <w:div w:id="971785489">
      <w:bodyDiv w:val="1"/>
      <w:marLeft w:val="0"/>
      <w:marRight w:val="0"/>
      <w:marTop w:val="0"/>
      <w:marBottom w:val="0"/>
      <w:divBdr>
        <w:top w:val="none" w:sz="0" w:space="0" w:color="auto"/>
        <w:left w:val="none" w:sz="0" w:space="0" w:color="auto"/>
        <w:bottom w:val="none" w:sz="0" w:space="0" w:color="auto"/>
        <w:right w:val="none" w:sz="0" w:space="0" w:color="auto"/>
      </w:divBdr>
    </w:div>
    <w:div w:id="974524240">
      <w:bodyDiv w:val="1"/>
      <w:marLeft w:val="0"/>
      <w:marRight w:val="0"/>
      <w:marTop w:val="0"/>
      <w:marBottom w:val="0"/>
      <w:divBdr>
        <w:top w:val="none" w:sz="0" w:space="0" w:color="auto"/>
        <w:left w:val="none" w:sz="0" w:space="0" w:color="auto"/>
        <w:bottom w:val="none" w:sz="0" w:space="0" w:color="auto"/>
        <w:right w:val="none" w:sz="0" w:space="0" w:color="auto"/>
      </w:divBdr>
      <w:divsChild>
        <w:div w:id="183833129">
          <w:marLeft w:val="0"/>
          <w:marRight w:val="0"/>
          <w:marTop w:val="0"/>
          <w:marBottom w:val="0"/>
          <w:divBdr>
            <w:top w:val="none" w:sz="0" w:space="0" w:color="auto"/>
            <w:left w:val="none" w:sz="0" w:space="0" w:color="auto"/>
            <w:bottom w:val="none" w:sz="0" w:space="0" w:color="auto"/>
            <w:right w:val="none" w:sz="0" w:space="0" w:color="auto"/>
          </w:divBdr>
          <w:divsChild>
            <w:div w:id="6048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1055">
      <w:bodyDiv w:val="1"/>
      <w:marLeft w:val="0"/>
      <w:marRight w:val="0"/>
      <w:marTop w:val="0"/>
      <w:marBottom w:val="0"/>
      <w:divBdr>
        <w:top w:val="none" w:sz="0" w:space="0" w:color="auto"/>
        <w:left w:val="none" w:sz="0" w:space="0" w:color="auto"/>
        <w:bottom w:val="none" w:sz="0" w:space="0" w:color="auto"/>
        <w:right w:val="none" w:sz="0" w:space="0" w:color="auto"/>
      </w:divBdr>
    </w:div>
    <w:div w:id="995035340">
      <w:bodyDiv w:val="1"/>
      <w:marLeft w:val="0"/>
      <w:marRight w:val="0"/>
      <w:marTop w:val="0"/>
      <w:marBottom w:val="0"/>
      <w:divBdr>
        <w:top w:val="none" w:sz="0" w:space="0" w:color="auto"/>
        <w:left w:val="none" w:sz="0" w:space="0" w:color="auto"/>
        <w:bottom w:val="none" w:sz="0" w:space="0" w:color="auto"/>
        <w:right w:val="none" w:sz="0" w:space="0" w:color="auto"/>
      </w:divBdr>
    </w:div>
    <w:div w:id="996231066">
      <w:bodyDiv w:val="1"/>
      <w:marLeft w:val="0"/>
      <w:marRight w:val="0"/>
      <w:marTop w:val="0"/>
      <w:marBottom w:val="0"/>
      <w:divBdr>
        <w:top w:val="none" w:sz="0" w:space="0" w:color="auto"/>
        <w:left w:val="none" w:sz="0" w:space="0" w:color="auto"/>
        <w:bottom w:val="none" w:sz="0" w:space="0" w:color="auto"/>
        <w:right w:val="none" w:sz="0" w:space="0" w:color="auto"/>
      </w:divBdr>
    </w:div>
    <w:div w:id="1031998167">
      <w:bodyDiv w:val="1"/>
      <w:marLeft w:val="0"/>
      <w:marRight w:val="0"/>
      <w:marTop w:val="0"/>
      <w:marBottom w:val="0"/>
      <w:divBdr>
        <w:top w:val="none" w:sz="0" w:space="0" w:color="auto"/>
        <w:left w:val="none" w:sz="0" w:space="0" w:color="auto"/>
        <w:bottom w:val="none" w:sz="0" w:space="0" w:color="auto"/>
        <w:right w:val="none" w:sz="0" w:space="0" w:color="auto"/>
      </w:divBdr>
    </w:div>
    <w:div w:id="1033306761">
      <w:bodyDiv w:val="1"/>
      <w:marLeft w:val="0"/>
      <w:marRight w:val="0"/>
      <w:marTop w:val="0"/>
      <w:marBottom w:val="0"/>
      <w:divBdr>
        <w:top w:val="none" w:sz="0" w:space="0" w:color="auto"/>
        <w:left w:val="none" w:sz="0" w:space="0" w:color="auto"/>
        <w:bottom w:val="none" w:sz="0" w:space="0" w:color="auto"/>
        <w:right w:val="none" w:sz="0" w:space="0" w:color="auto"/>
      </w:divBdr>
    </w:div>
    <w:div w:id="1065297026">
      <w:bodyDiv w:val="1"/>
      <w:marLeft w:val="0"/>
      <w:marRight w:val="0"/>
      <w:marTop w:val="0"/>
      <w:marBottom w:val="0"/>
      <w:divBdr>
        <w:top w:val="none" w:sz="0" w:space="0" w:color="auto"/>
        <w:left w:val="none" w:sz="0" w:space="0" w:color="auto"/>
        <w:bottom w:val="none" w:sz="0" w:space="0" w:color="auto"/>
        <w:right w:val="none" w:sz="0" w:space="0" w:color="auto"/>
      </w:divBdr>
    </w:div>
    <w:div w:id="1068652161">
      <w:bodyDiv w:val="1"/>
      <w:marLeft w:val="0"/>
      <w:marRight w:val="0"/>
      <w:marTop w:val="0"/>
      <w:marBottom w:val="0"/>
      <w:divBdr>
        <w:top w:val="none" w:sz="0" w:space="0" w:color="auto"/>
        <w:left w:val="none" w:sz="0" w:space="0" w:color="auto"/>
        <w:bottom w:val="none" w:sz="0" w:space="0" w:color="auto"/>
        <w:right w:val="none" w:sz="0" w:space="0" w:color="auto"/>
      </w:divBdr>
    </w:div>
    <w:div w:id="1070882521">
      <w:bodyDiv w:val="1"/>
      <w:marLeft w:val="0"/>
      <w:marRight w:val="0"/>
      <w:marTop w:val="0"/>
      <w:marBottom w:val="0"/>
      <w:divBdr>
        <w:top w:val="none" w:sz="0" w:space="0" w:color="auto"/>
        <w:left w:val="none" w:sz="0" w:space="0" w:color="auto"/>
        <w:bottom w:val="none" w:sz="0" w:space="0" w:color="auto"/>
        <w:right w:val="none" w:sz="0" w:space="0" w:color="auto"/>
      </w:divBdr>
      <w:divsChild>
        <w:div w:id="1308633379">
          <w:marLeft w:val="0"/>
          <w:marRight w:val="0"/>
          <w:marTop w:val="0"/>
          <w:marBottom w:val="0"/>
          <w:divBdr>
            <w:top w:val="none" w:sz="0" w:space="0" w:color="auto"/>
            <w:left w:val="none" w:sz="0" w:space="0" w:color="auto"/>
            <w:bottom w:val="none" w:sz="0" w:space="0" w:color="auto"/>
            <w:right w:val="none" w:sz="0" w:space="0" w:color="auto"/>
          </w:divBdr>
          <w:divsChild>
            <w:div w:id="119919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29280">
      <w:bodyDiv w:val="1"/>
      <w:marLeft w:val="0"/>
      <w:marRight w:val="0"/>
      <w:marTop w:val="0"/>
      <w:marBottom w:val="0"/>
      <w:divBdr>
        <w:top w:val="none" w:sz="0" w:space="0" w:color="auto"/>
        <w:left w:val="none" w:sz="0" w:space="0" w:color="auto"/>
        <w:bottom w:val="none" w:sz="0" w:space="0" w:color="auto"/>
        <w:right w:val="none" w:sz="0" w:space="0" w:color="auto"/>
      </w:divBdr>
      <w:divsChild>
        <w:div w:id="522206518">
          <w:marLeft w:val="475"/>
          <w:marRight w:val="0"/>
          <w:marTop w:val="86"/>
          <w:marBottom w:val="120"/>
          <w:divBdr>
            <w:top w:val="none" w:sz="0" w:space="0" w:color="auto"/>
            <w:left w:val="none" w:sz="0" w:space="0" w:color="auto"/>
            <w:bottom w:val="none" w:sz="0" w:space="0" w:color="auto"/>
            <w:right w:val="none" w:sz="0" w:space="0" w:color="auto"/>
          </w:divBdr>
        </w:div>
        <w:div w:id="1735662665">
          <w:marLeft w:val="475"/>
          <w:marRight w:val="0"/>
          <w:marTop w:val="86"/>
          <w:marBottom w:val="120"/>
          <w:divBdr>
            <w:top w:val="none" w:sz="0" w:space="0" w:color="auto"/>
            <w:left w:val="none" w:sz="0" w:space="0" w:color="auto"/>
            <w:bottom w:val="none" w:sz="0" w:space="0" w:color="auto"/>
            <w:right w:val="none" w:sz="0" w:space="0" w:color="auto"/>
          </w:divBdr>
        </w:div>
        <w:div w:id="1786776538">
          <w:marLeft w:val="475"/>
          <w:marRight w:val="0"/>
          <w:marTop w:val="86"/>
          <w:marBottom w:val="120"/>
          <w:divBdr>
            <w:top w:val="none" w:sz="0" w:space="0" w:color="auto"/>
            <w:left w:val="none" w:sz="0" w:space="0" w:color="auto"/>
            <w:bottom w:val="none" w:sz="0" w:space="0" w:color="auto"/>
            <w:right w:val="none" w:sz="0" w:space="0" w:color="auto"/>
          </w:divBdr>
        </w:div>
      </w:divsChild>
    </w:div>
    <w:div w:id="1083527239">
      <w:bodyDiv w:val="1"/>
      <w:marLeft w:val="0"/>
      <w:marRight w:val="0"/>
      <w:marTop w:val="0"/>
      <w:marBottom w:val="0"/>
      <w:divBdr>
        <w:top w:val="none" w:sz="0" w:space="0" w:color="auto"/>
        <w:left w:val="none" w:sz="0" w:space="0" w:color="auto"/>
        <w:bottom w:val="none" w:sz="0" w:space="0" w:color="auto"/>
        <w:right w:val="none" w:sz="0" w:space="0" w:color="auto"/>
      </w:divBdr>
      <w:divsChild>
        <w:div w:id="441265822">
          <w:marLeft w:val="0"/>
          <w:marRight w:val="0"/>
          <w:marTop w:val="0"/>
          <w:marBottom w:val="0"/>
          <w:divBdr>
            <w:top w:val="none" w:sz="0" w:space="0" w:color="auto"/>
            <w:left w:val="none" w:sz="0" w:space="0" w:color="auto"/>
            <w:bottom w:val="none" w:sz="0" w:space="0" w:color="auto"/>
            <w:right w:val="none" w:sz="0" w:space="0" w:color="auto"/>
          </w:divBdr>
        </w:div>
        <w:div w:id="2042392248">
          <w:marLeft w:val="0"/>
          <w:marRight w:val="0"/>
          <w:marTop w:val="0"/>
          <w:marBottom w:val="0"/>
          <w:divBdr>
            <w:top w:val="none" w:sz="0" w:space="0" w:color="auto"/>
            <w:left w:val="none" w:sz="0" w:space="0" w:color="auto"/>
            <w:bottom w:val="none" w:sz="0" w:space="0" w:color="auto"/>
            <w:right w:val="none" w:sz="0" w:space="0" w:color="auto"/>
          </w:divBdr>
        </w:div>
      </w:divsChild>
    </w:div>
    <w:div w:id="1084837144">
      <w:bodyDiv w:val="1"/>
      <w:marLeft w:val="0"/>
      <w:marRight w:val="0"/>
      <w:marTop w:val="0"/>
      <w:marBottom w:val="0"/>
      <w:divBdr>
        <w:top w:val="none" w:sz="0" w:space="0" w:color="auto"/>
        <w:left w:val="none" w:sz="0" w:space="0" w:color="auto"/>
        <w:bottom w:val="none" w:sz="0" w:space="0" w:color="auto"/>
        <w:right w:val="none" w:sz="0" w:space="0" w:color="auto"/>
      </w:divBdr>
    </w:div>
    <w:div w:id="1086609354">
      <w:bodyDiv w:val="1"/>
      <w:marLeft w:val="0"/>
      <w:marRight w:val="0"/>
      <w:marTop w:val="0"/>
      <w:marBottom w:val="0"/>
      <w:divBdr>
        <w:top w:val="none" w:sz="0" w:space="0" w:color="auto"/>
        <w:left w:val="none" w:sz="0" w:space="0" w:color="auto"/>
        <w:bottom w:val="none" w:sz="0" w:space="0" w:color="auto"/>
        <w:right w:val="none" w:sz="0" w:space="0" w:color="auto"/>
      </w:divBdr>
      <w:divsChild>
        <w:div w:id="1710957684">
          <w:marLeft w:val="0"/>
          <w:marRight w:val="0"/>
          <w:marTop w:val="0"/>
          <w:marBottom w:val="300"/>
          <w:divBdr>
            <w:top w:val="none" w:sz="0" w:space="0" w:color="auto"/>
            <w:left w:val="none" w:sz="0" w:space="0" w:color="auto"/>
            <w:bottom w:val="none" w:sz="0" w:space="0" w:color="auto"/>
            <w:right w:val="none" w:sz="0" w:space="0" w:color="auto"/>
          </w:divBdr>
        </w:div>
        <w:div w:id="1746608058">
          <w:marLeft w:val="0"/>
          <w:marRight w:val="0"/>
          <w:marTop w:val="180"/>
          <w:marBottom w:val="0"/>
          <w:divBdr>
            <w:top w:val="none" w:sz="0" w:space="0" w:color="auto"/>
            <w:left w:val="none" w:sz="0" w:space="0" w:color="auto"/>
            <w:bottom w:val="none" w:sz="0" w:space="0" w:color="auto"/>
            <w:right w:val="none" w:sz="0" w:space="0" w:color="auto"/>
          </w:divBdr>
          <w:divsChild>
            <w:div w:id="2487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4680">
      <w:bodyDiv w:val="1"/>
      <w:marLeft w:val="0"/>
      <w:marRight w:val="0"/>
      <w:marTop w:val="0"/>
      <w:marBottom w:val="0"/>
      <w:divBdr>
        <w:top w:val="none" w:sz="0" w:space="0" w:color="auto"/>
        <w:left w:val="none" w:sz="0" w:space="0" w:color="auto"/>
        <w:bottom w:val="none" w:sz="0" w:space="0" w:color="auto"/>
        <w:right w:val="none" w:sz="0" w:space="0" w:color="auto"/>
      </w:divBdr>
      <w:divsChild>
        <w:div w:id="298414273">
          <w:marLeft w:val="0"/>
          <w:marRight w:val="0"/>
          <w:marTop w:val="0"/>
          <w:marBottom w:val="0"/>
          <w:divBdr>
            <w:top w:val="none" w:sz="0" w:space="0" w:color="auto"/>
            <w:left w:val="none" w:sz="0" w:space="0" w:color="auto"/>
            <w:bottom w:val="none" w:sz="0" w:space="0" w:color="auto"/>
            <w:right w:val="none" w:sz="0" w:space="0" w:color="auto"/>
          </w:divBdr>
          <w:divsChild>
            <w:div w:id="14553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5139">
      <w:bodyDiv w:val="1"/>
      <w:marLeft w:val="0"/>
      <w:marRight w:val="0"/>
      <w:marTop w:val="0"/>
      <w:marBottom w:val="0"/>
      <w:divBdr>
        <w:top w:val="none" w:sz="0" w:space="0" w:color="auto"/>
        <w:left w:val="none" w:sz="0" w:space="0" w:color="auto"/>
        <w:bottom w:val="none" w:sz="0" w:space="0" w:color="auto"/>
        <w:right w:val="none" w:sz="0" w:space="0" w:color="auto"/>
      </w:divBdr>
    </w:div>
    <w:div w:id="1146974210">
      <w:bodyDiv w:val="1"/>
      <w:marLeft w:val="0"/>
      <w:marRight w:val="0"/>
      <w:marTop w:val="0"/>
      <w:marBottom w:val="0"/>
      <w:divBdr>
        <w:top w:val="none" w:sz="0" w:space="0" w:color="auto"/>
        <w:left w:val="none" w:sz="0" w:space="0" w:color="auto"/>
        <w:bottom w:val="none" w:sz="0" w:space="0" w:color="auto"/>
        <w:right w:val="none" w:sz="0" w:space="0" w:color="auto"/>
      </w:divBdr>
    </w:div>
    <w:div w:id="1148590915">
      <w:bodyDiv w:val="1"/>
      <w:marLeft w:val="0"/>
      <w:marRight w:val="0"/>
      <w:marTop w:val="0"/>
      <w:marBottom w:val="0"/>
      <w:divBdr>
        <w:top w:val="none" w:sz="0" w:space="0" w:color="auto"/>
        <w:left w:val="none" w:sz="0" w:space="0" w:color="auto"/>
        <w:bottom w:val="none" w:sz="0" w:space="0" w:color="auto"/>
        <w:right w:val="none" w:sz="0" w:space="0" w:color="auto"/>
      </w:divBdr>
    </w:div>
    <w:div w:id="1155030427">
      <w:bodyDiv w:val="1"/>
      <w:marLeft w:val="0"/>
      <w:marRight w:val="0"/>
      <w:marTop w:val="0"/>
      <w:marBottom w:val="0"/>
      <w:divBdr>
        <w:top w:val="none" w:sz="0" w:space="0" w:color="auto"/>
        <w:left w:val="none" w:sz="0" w:space="0" w:color="auto"/>
        <w:bottom w:val="none" w:sz="0" w:space="0" w:color="auto"/>
        <w:right w:val="none" w:sz="0" w:space="0" w:color="auto"/>
      </w:divBdr>
    </w:div>
    <w:div w:id="1181696313">
      <w:bodyDiv w:val="1"/>
      <w:marLeft w:val="0"/>
      <w:marRight w:val="0"/>
      <w:marTop w:val="0"/>
      <w:marBottom w:val="0"/>
      <w:divBdr>
        <w:top w:val="none" w:sz="0" w:space="0" w:color="auto"/>
        <w:left w:val="none" w:sz="0" w:space="0" w:color="auto"/>
        <w:bottom w:val="none" w:sz="0" w:space="0" w:color="auto"/>
        <w:right w:val="none" w:sz="0" w:space="0" w:color="auto"/>
      </w:divBdr>
    </w:div>
    <w:div w:id="1197817093">
      <w:bodyDiv w:val="1"/>
      <w:marLeft w:val="0"/>
      <w:marRight w:val="0"/>
      <w:marTop w:val="0"/>
      <w:marBottom w:val="0"/>
      <w:divBdr>
        <w:top w:val="none" w:sz="0" w:space="0" w:color="auto"/>
        <w:left w:val="none" w:sz="0" w:space="0" w:color="auto"/>
        <w:bottom w:val="none" w:sz="0" w:space="0" w:color="auto"/>
        <w:right w:val="none" w:sz="0" w:space="0" w:color="auto"/>
      </w:divBdr>
      <w:divsChild>
        <w:div w:id="305939719">
          <w:marLeft w:val="0"/>
          <w:marRight w:val="0"/>
          <w:marTop w:val="0"/>
          <w:marBottom w:val="0"/>
          <w:divBdr>
            <w:top w:val="none" w:sz="0" w:space="0" w:color="auto"/>
            <w:left w:val="none" w:sz="0" w:space="0" w:color="auto"/>
            <w:bottom w:val="none" w:sz="0" w:space="0" w:color="auto"/>
            <w:right w:val="none" w:sz="0" w:space="0" w:color="auto"/>
          </w:divBdr>
        </w:div>
        <w:div w:id="376052886">
          <w:marLeft w:val="0"/>
          <w:marRight w:val="0"/>
          <w:marTop w:val="0"/>
          <w:marBottom w:val="0"/>
          <w:divBdr>
            <w:top w:val="none" w:sz="0" w:space="0" w:color="auto"/>
            <w:left w:val="none" w:sz="0" w:space="0" w:color="auto"/>
            <w:bottom w:val="none" w:sz="0" w:space="0" w:color="auto"/>
            <w:right w:val="none" w:sz="0" w:space="0" w:color="auto"/>
          </w:divBdr>
        </w:div>
        <w:div w:id="1007948823">
          <w:marLeft w:val="0"/>
          <w:marRight w:val="0"/>
          <w:marTop w:val="0"/>
          <w:marBottom w:val="0"/>
          <w:divBdr>
            <w:top w:val="none" w:sz="0" w:space="0" w:color="auto"/>
            <w:left w:val="none" w:sz="0" w:space="0" w:color="auto"/>
            <w:bottom w:val="none" w:sz="0" w:space="0" w:color="auto"/>
            <w:right w:val="none" w:sz="0" w:space="0" w:color="auto"/>
          </w:divBdr>
        </w:div>
        <w:div w:id="1347051924">
          <w:marLeft w:val="0"/>
          <w:marRight w:val="0"/>
          <w:marTop w:val="0"/>
          <w:marBottom w:val="0"/>
          <w:divBdr>
            <w:top w:val="none" w:sz="0" w:space="0" w:color="auto"/>
            <w:left w:val="none" w:sz="0" w:space="0" w:color="auto"/>
            <w:bottom w:val="none" w:sz="0" w:space="0" w:color="auto"/>
            <w:right w:val="none" w:sz="0" w:space="0" w:color="auto"/>
          </w:divBdr>
        </w:div>
        <w:div w:id="1473984383">
          <w:marLeft w:val="0"/>
          <w:marRight w:val="0"/>
          <w:marTop w:val="0"/>
          <w:marBottom w:val="0"/>
          <w:divBdr>
            <w:top w:val="none" w:sz="0" w:space="0" w:color="auto"/>
            <w:left w:val="none" w:sz="0" w:space="0" w:color="auto"/>
            <w:bottom w:val="none" w:sz="0" w:space="0" w:color="auto"/>
            <w:right w:val="none" w:sz="0" w:space="0" w:color="auto"/>
          </w:divBdr>
        </w:div>
      </w:divsChild>
    </w:div>
    <w:div w:id="1265381314">
      <w:bodyDiv w:val="1"/>
      <w:marLeft w:val="0"/>
      <w:marRight w:val="0"/>
      <w:marTop w:val="0"/>
      <w:marBottom w:val="0"/>
      <w:divBdr>
        <w:top w:val="none" w:sz="0" w:space="0" w:color="auto"/>
        <w:left w:val="none" w:sz="0" w:space="0" w:color="auto"/>
        <w:bottom w:val="none" w:sz="0" w:space="0" w:color="auto"/>
        <w:right w:val="none" w:sz="0" w:space="0" w:color="auto"/>
      </w:divBdr>
      <w:divsChild>
        <w:div w:id="1751076037">
          <w:marLeft w:val="0"/>
          <w:marRight w:val="0"/>
          <w:marTop w:val="0"/>
          <w:marBottom w:val="0"/>
          <w:divBdr>
            <w:top w:val="none" w:sz="0" w:space="0" w:color="auto"/>
            <w:left w:val="none" w:sz="0" w:space="0" w:color="auto"/>
            <w:bottom w:val="none" w:sz="0" w:space="0" w:color="auto"/>
            <w:right w:val="none" w:sz="0" w:space="0" w:color="auto"/>
          </w:divBdr>
          <w:divsChild>
            <w:div w:id="12878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54021">
      <w:bodyDiv w:val="1"/>
      <w:marLeft w:val="0"/>
      <w:marRight w:val="0"/>
      <w:marTop w:val="0"/>
      <w:marBottom w:val="0"/>
      <w:divBdr>
        <w:top w:val="none" w:sz="0" w:space="0" w:color="auto"/>
        <w:left w:val="none" w:sz="0" w:space="0" w:color="auto"/>
        <w:bottom w:val="none" w:sz="0" w:space="0" w:color="auto"/>
        <w:right w:val="none" w:sz="0" w:space="0" w:color="auto"/>
      </w:divBdr>
      <w:divsChild>
        <w:div w:id="119424235">
          <w:marLeft w:val="0"/>
          <w:marRight w:val="0"/>
          <w:marTop w:val="0"/>
          <w:marBottom w:val="0"/>
          <w:divBdr>
            <w:top w:val="none" w:sz="0" w:space="0" w:color="auto"/>
            <w:left w:val="none" w:sz="0" w:space="0" w:color="auto"/>
            <w:bottom w:val="none" w:sz="0" w:space="0" w:color="auto"/>
            <w:right w:val="none" w:sz="0" w:space="0" w:color="auto"/>
          </w:divBdr>
        </w:div>
        <w:div w:id="175777615">
          <w:marLeft w:val="0"/>
          <w:marRight w:val="0"/>
          <w:marTop w:val="0"/>
          <w:marBottom w:val="0"/>
          <w:divBdr>
            <w:top w:val="none" w:sz="0" w:space="0" w:color="auto"/>
            <w:left w:val="none" w:sz="0" w:space="0" w:color="auto"/>
            <w:bottom w:val="none" w:sz="0" w:space="0" w:color="auto"/>
            <w:right w:val="none" w:sz="0" w:space="0" w:color="auto"/>
          </w:divBdr>
        </w:div>
        <w:div w:id="564607329">
          <w:marLeft w:val="0"/>
          <w:marRight w:val="0"/>
          <w:marTop w:val="0"/>
          <w:marBottom w:val="0"/>
          <w:divBdr>
            <w:top w:val="none" w:sz="0" w:space="0" w:color="auto"/>
            <w:left w:val="none" w:sz="0" w:space="0" w:color="auto"/>
            <w:bottom w:val="none" w:sz="0" w:space="0" w:color="auto"/>
            <w:right w:val="none" w:sz="0" w:space="0" w:color="auto"/>
          </w:divBdr>
        </w:div>
        <w:div w:id="1369187647">
          <w:marLeft w:val="0"/>
          <w:marRight w:val="0"/>
          <w:marTop w:val="0"/>
          <w:marBottom w:val="0"/>
          <w:divBdr>
            <w:top w:val="none" w:sz="0" w:space="0" w:color="auto"/>
            <w:left w:val="none" w:sz="0" w:space="0" w:color="auto"/>
            <w:bottom w:val="none" w:sz="0" w:space="0" w:color="auto"/>
            <w:right w:val="none" w:sz="0" w:space="0" w:color="auto"/>
          </w:divBdr>
        </w:div>
      </w:divsChild>
    </w:div>
    <w:div w:id="1305965357">
      <w:bodyDiv w:val="1"/>
      <w:marLeft w:val="0"/>
      <w:marRight w:val="0"/>
      <w:marTop w:val="0"/>
      <w:marBottom w:val="0"/>
      <w:divBdr>
        <w:top w:val="none" w:sz="0" w:space="0" w:color="auto"/>
        <w:left w:val="none" w:sz="0" w:space="0" w:color="auto"/>
        <w:bottom w:val="none" w:sz="0" w:space="0" w:color="auto"/>
        <w:right w:val="none" w:sz="0" w:space="0" w:color="auto"/>
      </w:divBdr>
      <w:divsChild>
        <w:div w:id="87165835">
          <w:marLeft w:val="0"/>
          <w:marRight w:val="0"/>
          <w:marTop w:val="0"/>
          <w:marBottom w:val="0"/>
          <w:divBdr>
            <w:top w:val="none" w:sz="0" w:space="0" w:color="auto"/>
            <w:left w:val="none" w:sz="0" w:space="0" w:color="auto"/>
            <w:bottom w:val="none" w:sz="0" w:space="0" w:color="auto"/>
            <w:right w:val="none" w:sz="0" w:space="0" w:color="auto"/>
          </w:divBdr>
        </w:div>
      </w:divsChild>
    </w:div>
    <w:div w:id="1308700517">
      <w:bodyDiv w:val="1"/>
      <w:marLeft w:val="0"/>
      <w:marRight w:val="0"/>
      <w:marTop w:val="0"/>
      <w:marBottom w:val="0"/>
      <w:divBdr>
        <w:top w:val="none" w:sz="0" w:space="0" w:color="auto"/>
        <w:left w:val="none" w:sz="0" w:space="0" w:color="auto"/>
        <w:bottom w:val="none" w:sz="0" w:space="0" w:color="auto"/>
        <w:right w:val="none" w:sz="0" w:space="0" w:color="auto"/>
      </w:divBdr>
      <w:divsChild>
        <w:div w:id="605305932">
          <w:marLeft w:val="0"/>
          <w:marRight w:val="0"/>
          <w:marTop w:val="0"/>
          <w:marBottom w:val="0"/>
          <w:divBdr>
            <w:top w:val="none" w:sz="0" w:space="0" w:color="auto"/>
            <w:left w:val="none" w:sz="0" w:space="0" w:color="auto"/>
            <w:bottom w:val="none" w:sz="0" w:space="0" w:color="auto"/>
            <w:right w:val="none" w:sz="0" w:space="0" w:color="auto"/>
          </w:divBdr>
        </w:div>
      </w:divsChild>
    </w:div>
    <w:div w:id="1319770094">
      <w:bodyDiv w:val="1"/>
      <w:marLeft w:val="0"/>
      <w:marRight w:val="0"/>
      <w:marTop w:val="0"/>
      <w:marBottom w:val="0"/>
      <w:divBdr>
        <w:top w:val="none" w:sz="0" w:space="0" w:color="auto"/>
        <w:left w:val="none" w:sz="0" w:space="0" w:color="auto"/>
        <w:bottom w:val="none" w:sz="0" w:space="0" w:color="auto"/>
        <w:right w:val="none" w:sz="0" w:space="0" w:color="auto"/>
      </w:divBdr>
    </w:div>
    <w:div w:id="1323696522">
      <w:bodyDiv w:val="1"/>
      <w:marLeft w:val="0"/>
      <w:marRight w:val="0"/>
      <w:marTop w:val="0"/>
      <w:marBottom w:val="0"/>
      <w:divBdr>
        <w:top w:val="none" w:sz="0" w:space="0" w:color="auto"/>
        <w:left w:val="none" w:sz="0" w:space="0" w:color="auto"/>
        <w:bottom w:val="none" w:sz="0" w:space="0" w:color="auto"/>
        <w:right w:val="none" w:sz="0" w:space="0" w:color="auto"/>
      </w:divBdr>
    </w:div>
    <w:div w:id="1335642385">
      <w:bodyDiv w:val="1"/>
      <w:marLeft w:val="0"/>
      <w:marRight w:val="0"/>
      <w:marTop w:val="0"/>
      <w:marBottom w:val="0"/>
      <w:divBdr>
        <w:top w:val="none" w:sz="0" w:space="0" w:color="auto"/>
        <w:left w:val="none" w:sz="0" w:space="0" w:color="auto"/>
        <w:bottom w:val="none" w:sz="0" w:space="0" w:color="auto"/>
        <w:right w:val="none" w:sz="0" w:space="0" w:color="auto"/>
      </w:divBdr>
    </w:div>
    <w:div w:id="1359239538">
      <w:bodyDiv w:val="1"/>
      <w:marLeft w:val="0"/>
      <w:marRight w:val="0"/>
      <w:marTop w:val="0"/>
      <w:marBottom w:val="0"/>
      <w:divBdr>
        <w:top w:val="none" w:sz="0" w:space="0" w:color="auto"/>
        <w:left w:val="none" w:sz="0" w:space="0" w:color="auto"/>
        <w:bottom w:val="none" w:sz="0" w:space="0" w:color="auto"/>
        <w:right w:val="none" w:sz="0" w:space="0" w:color="auto"/>
      </w:divBdr>
      <w:divsChild>
        <w:div w:id="1629894845">
          <w:marLeft w:val="0"/>
          <w:marRight w:val="0"/>
          <w:marTop w:val="0"/>
          <w:marBottom w:val="0"/>
          <w:divBdr>
            <w:top w:val="none" w:sz="0" w:space="0" w:color="auto"/>
            <w:left w:val="none" w:sz="0" w:space="0" w:color="auto"/>
            <w:bottom w:val="none" w:sz="0" w:space="0" w:color="auto"/>
            <w:right w:val="none" w:sz="0" w:space="0" w:color="auto"/>
          </w:divBdr>
          <w:divsChild>
            <w:div w:id="259802686">
              <w:marLeft w:val="0"/>
              <w:marRight w:val="0"/>
              <w:marTop w:val="0"/>
              <w:marBottom w:val="0"/>
              <w:divBdr>
                <w:top w:val="none" w:sz="0" w:space="0" w:color="auto"/>
                <w:left w:val="none" w:sz="0" w:space="0" w:color="auto"/>
                <w:bottom w:val="none" w:sz="0" w:space="0" w:color="auto"/>
                <w:right w:val="none" w:sz="0" w:space="0" w:color="auto"/>
              </w:divBdr>
            </w:div>
            <w:div w:id="1217273982">
              <w:marLeft w:val="0"/>
              <w:marRight w:val="0"/>
              <w:marTop w:val="0"/>
              <w:marBottom w:val="0"/>
              <w:divBdr>
                <w:top w:val="none" w:sz="0" w:space="0" w:color="auto"/>
                <w:left w:val="none" w:sz="0" w:space="0" w:color="auto"/>
                <w:bottom w:val="none" w:sz="0" w:space="0" w:color="auto"/>
                <w:right w:val="none" w:sz="0" w:space="0" w:color="auto"/>
              </w:divBdr>
            </w:div>
            <w:div w:id="12412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61457">
      <w:bodyDiv w:val="1"/>
      <w:marLeft w:val="0"/>
      <w:marRight w:val="0"/>
      <w:marTop w:val="0"/>
      <w:marBottom w:val="0"/>
      <w:divBdr>
        <w:top w:val="none" w:sz="0" w:space="0" w:color="auto"/>
        <w:left w:val="none" w:sz="0" w:space="0" w:color="auto"/>
        <w:bottom w:val="none" w:sz="0" w:space="0" w:color="auto"/>
        <w:right w:val="none" w:sz="0" w:space="0" w:color="auto"/>
      </w:divBdr>
    </w:div>
    <w:div w:id="1383600674">
      <w:bodyDiv w:val="1"/>
      <w:marLeft w:val="0"/>
      <w:marRight w:val="0"/>
      <w:marTop w:val="0"/>
      <w:marBottom w:val="0"/>
      <w:divBdr>
        <w:top w:val="none" w:sz="0" w:space="0" w:color="auto"/>
        <w:left w:val="none" w:sz="0" w:space="0" w:color="auto"/>
        <w:bottom w:val="none" w:sz="0" w:space="0" w:color="auto"/>
        <w:right w:val="none" w:sz="0" w:space="0" w:color="auto"/>
      </w:divBdr>
    </w:div>
    <w:div w:id="1387610921">
      <w:bodyDiv w:val="1"/>
      <w:marLeft w:val="0"/>
      <w:marRight w:val="0"/>
      <w:marTop w:val="0"/>
      <w:marBottom w:val="0"/>
      <w:divBdr>
        <w:top w:val="none" w:sz="0" w:space="0" w:color="auto"/>
        <w:left w:val="none" w:sz="0" w:space="0" w:color="auto"/>
        <w:bottom w:val="none" w:sz="0" w:space="0" w:color="auto"/>
        <w:right w:val="none" w:sz="0" w:space="0" w:color="auto"/>
      </w:divBdr>
      <w:divsChild>
        <w:div w:id="158933033">
          <w:marLeft w:val="0"/>
          <w:marRight w:val="0"/>
          <w:marTop w:val="0"/>
          <w:marBottom w:val="0"/>
          <w:divBdr>
            <w:top w:val="none" w:sz="0" w:space="0" w:color="auto"/>
            <w:left w:val="none" w:sz="0" w:space="0" w:color="auto"/>
            <w:bottom w:val="none" w:sz="0" w:space="0" w:color="auto"/>
            <w:right w:val="none" w:sz="0" w:space="0" w:color="auto"/>
          </w:divBdr>
          <w:divsChild>
            <w:div w:id="152698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43755">
      <w:bodyDiv w:val="1"/>
      <w:marLeft w:val="0"/>
      <w:marRight w:val="0"/>
      <w:marTop w:val="0"/>
      <w:marBottom w:val="0"/>
      <w:divBdr>
        <w:top w:val="none" w:sz="0" w:space="0" w:color="auto"/>
        <w:left w:val="none" w:sz="0" w:space="0" w:color="auto"/>
        <w:bottom w:val="none" w:sz="0" w:space="0" w:color="auto"/>
        <w:right w:val="none" w:sz="0" w:space="0" w:color="auto"/>
      </w:divBdr>
    </w:div>
    <w:div w:id="1402480833">
      <w:bodyDiv w:val="1"/>
      <w:marLeft w:val="0"/>
      <w:marRight w:val="0"/>
      <w:marTop w:val="0"/>
      <w:marBottom w:val="0"/>
      <w:divBdr>
        <w:top w:val="none" w:sz="0" w:space="0" w:color="auto"/>
        <w:left w:val="none" w:sz="0" w:space="0" w:color="auto"/>
        <w:bottom w:val="none" w:sz="0" w:space="0" w:color="auto"/>
        <w:right w:val="none" w:sz="0" w:space="0" w:color="auto"/>
      </w:divBdr>
      <w:divsChild>
        <w:div w:id="567300461">
          <w:marLeft w:val="0"/>
          <w:marRight w:val="0"/>
          <w:marTop w:val="0"/>
          <w:marBottom w:val="0"/>
          <w:divBdr>
            <w:top w:val="none" w:sz="0" w:space="0" w:color="auto"/>
            <w:left w:val="none" w:sz="0" w:space="0" w:color="auto"/>
            <w:bottom w:val="none" w:sz="0" w:space="0" w:color="auto"/>
            <w:right w:val="none" w:sz="0" w:space="0" w:color="auto"/>
          </w:divBdr>
          <w:divsChild>
            <w:div w:id="21010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62540">
      <w:bodyDiv w:val="1"/>
      <w:marLeft w:val="0"/>
      <w:marRight w:val="0"/>
      <w:marTop w:val="0"/>
      <w:marBottom w:val="0"/>
      <w:divBdr>
        <w:top w:val="none" w:sz="0" w:space="0" w:color="auto"/>
        <w:left w:val="none" w:sz="0" w:space="0" w:color="auto"/>
        <w:bottom w:val="none" w:sz="0" w:space="0" w:color="auto"/>
        <w:right w:val="none" w:sz="0" w:space="0" w:color="auto"/>
      </w:divBdr>
    </w:div>
    <w:div w:id="1424456877">
      <w:bodyDiv w:val="1"/>
      <w:marLeft w:val="0"/>
      <w:marRight w:val="0"/>
      <w:marTop w:val="0"/>
      <w:marBottom w:val="0"/>
      <w:divBdr>
        <w:top w:val="none" w:sz="0" w:space="0" w:color="auto"/>
        <w:left w:val="none" w:sz="0" w:space="0" w:color="auto"/>
        <w:bottom w:val="none" w:sz="0" w:space="0" w:color="auto"/>
        <w:right w:val="none" w:sz="0" w:space="0" w:color="auto"/>
      </w:divBdr>
    </w:div>
    <w:div w:id="1425801344">
      <w:bodyDiv w:val="1"/>
      <w:marLeft w:val="0"/>
      <w:marRight w:val="0"/>
      <w:marTop w:val="0"/>
      <w:marBottom w:val="0"/>
      <w:divBdr>
        <w:top w:val="none" w:sz="0" w:space="0" w:color="auto"/>
        <w:left w:val="none" w:sz="0" w:space="0" w:color="auto"/>
        <w:bottom w:val="none" w:sz="0" w:space="0" w:color="auto"/>
        <w:right w:val="none" w:sz="0" w:space="0" w:color="auto"/>
      </w:divBdr>
    </w:div>
    <w:div w:id="1426996173">
      <w:bodyDiv w:val="1"/>
      <w:marLeft w:val="0"/>
      <w:marRight w:val="0"/>
      <w:marTop w:val="0"/>
      <w:marBottom w:val="0"/>
      <w:divBdr>
        <w:top w:val="none" w:sz="0" w:space="0" w:color="auto"/>
        <w:left w:val="none" w:sz="0" w:space="0" w:color="auto"/>
        <w:bottom w:val="none" w:sz="0" w:space="0" w:color="auto"/>
        <w:right w:val="none" w:sz="0" w:space="0" w:color="auto"/>
      </w:divBdr>
      <w:divsChild>
        <w:div w:id="1132553645">
          <w:marLeft w:val="0"/>
          <w:marRight w:val="0"/>
          <w:marTop w:val="0"/>
          <w:marBottom w:val="0"/>
          <w:divBdr>
            <w:top w:val="none" w:sz="0" w:space="0" w:color="auto"/>
            <w:left w:val="none" w:sz="0" w:space="0" w:color="auto"/>
            <w:bottom w:val="none" w:sz="0" w:space="0" w:color="auto"/>
            <w:right w:val="none" w:sz="0" w:space="0" w:color="auto"/>
          </w:divBdr>
          <w:divsChild>
            <w:div w:id="11728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00029">
      <w:bodyDiv w:val="1"/>
      <w:marLeft w:val="0"/>
      <w:marRight w:val="0"/>
      <w:marTop w:val="0"/>
      <w:marBottom w:val="0"/>
      <w:divBdr>
        <w:top w:val="none" w:sz="0" w:space="0" w:color="auto"/>
        <w:left w:val="none" w:sz="0" w:space="0" w:color="auto"/>
        <w:bottom w:val="none" w:sz="0" w:space="0" w:color="auto"/>
        <w:right w:val="none" w:sz="0" w:space="0" w:color="auto"/>
      </w:divBdr>
    </w:div>
    <w:div w:id="1443912828">
      <w:bodyDiv w:val="1"/>
      <w:marLeft w:val="0"/>
      <w:marRight w:val="0"/>
      <w:marTop w:val="0"/>
      <w:marBottom w:val="0"/>
      <w:divBdr>
        <w:top w:val="none" w:sz="0" w:space="0" w:color="auto"/>
        <w:left w:val="none" w:sz="0" w:space="0" w:color="auto"/>
        <w:bottom w:val="none" w:sz="0" w:space="0" w:color="auto"/>
        <w:right w:val="none" w:sz="0" w:space="0" w:color="auto"/>
      </w:divBdr>
    </w:div>
    <w:div w:id="1451822194">
      <w:bodyDiv w:val="1"/>
      <w:marLeft w:val="0"/>
      <w:marRight w:val="0"/>
      <w:marTop w:val="0"/>
      <w:marBottom w:val="0"/>
      <w:divBdr>
        <w:top w:val="none" w:sz="0" w:space="0" w:color="auto"/>
        <w:left w:val="none" w:sz="0" w:space="0" w:color="auto"/>
        <w:bottom w:val="none" w:sz="0" w:space="0" w:color="auto"/>
        <w:right w:val="none" w:sz="0" w:space="0" w:color="auto"/>
      </w:divBdr>
    </w:div>
    <w:div w:id="1461726788">
      <w:bodyDiv w:val="1"/>
      <w:marLeft w:val="0"/>
      <w:marRight w:val="0"/>
      <w:marTop w:val="0"/>
      <w:marBottom w:val="0"/>
      <w:divBdr>
        <w:top w:val="none" w:sz="0" w:space="0" w:color="auto"/>
        <w:left w:val="none" w:sz="0" w:space="0" w:color="auto"/>
        <w:bottom w:val="none" w:sz="0" w:space="0" w:color="auto"/>
        <w:right w:val="none" w:sz="0" w:space="0" w:color="auto"/>
      </w:divBdr>
    </w:div>
    <w:div w:id="1461801096">
      <w:bodyDiv w:val="1"/>
      <w:marLeft w:val="0"/>
      <w:marRight w:val="0"/>
      <w:marTop w:val="0"/>
      <w:marBottom w:val="0"/>
      <w:divBdr>
        <w:top w:val="none" w:sz="0" w:space="0" w:color="auto"/>
        <w:left w:val="none" w:sz="0" w:space="0" w:color="auto"/>
        <w:bottom w:val="none" w:sz="0" w:space="0" w:color="auto"/>
        <w:right w:val="none" w:sz="0" w:space="0" w:color="auto"/>
      </w:divBdr>
    </w:div>
    <w:div w:id="1475639616">
      <w:bodyDiv w:val="1"/>
      <w:marLeft w:val="0"/>
      <w:marRight w:val="0"/>
      <w:marTop w:val="0"/>
      <w:marBottom w:val="0"/>
      <w:divBdr>
        <w:top w:val="none" w:sz="0" w:space="0" w:color="auto"/>
        <w:left w:val="none" w:sz="0" w:space="0" w:color="auto"/>
        <w:bottom w:val="none" w:sz="0" w:space="0" w:color="auto"/>
        <w:right w:val="none" w:sz="0" w:space="0" w:color="auto"/>
      </w:divBdr>
    </w:div>
    <w:div w:id="1518428357">
      <w:bodyDiv w:val="1"/>
      <w:marLeft w:val="0"/>
      <w:marRight w:val="0"/>
      <w:marTop w:val="0"/>
      <w:marBottom w:val="0"/>
      <w:divBdr>
        <w:top w:val="none" w:sz="0" w:space="0" w:color="auto"/>
        <w:left w:val="none" w:sz="0" w:space="0" w:color="auto"/>
        <w:bottom w:val="none" w:sz="0" w:space="0" w:color="auto"/>
        <w:right w:val="none" w:sz="0" w:space="0" w:color="auto"/>
      </w:divBdr>
    </w:div>
    <w:div w:id="1518957275">
      <w:bodyDiv w:val="1"/>
      <w:marLeft w:val="0"/>
      <w:marRight w:val="0"/>
      <w:marTop w:val="0"/>
      <w:marBottom w:val="0"/>
      <w:divBdr>
        <w:top w:val="none" w:sz="0" w:space="0" w:color="auto"/>
        <w:left w:val="none" w:sz="0" w:space="0" w:color="auto"/>
        <w:bottom w:val="none" w:sz="0" w:space="0" w:color="auto"/>
        <w:right w:val="none" w:sz="0" w:space="0" w:color="auto"/>
      </w:divBdr>
    </w:div>
    <w:div w:id="1538739088">
      <w:bodyDiv w:val="1"/>
      <w:marLeft w:val="0"/>
      <w:marRight w:val="0"/>
      <w:marTop w:val="0"/>
      <w:marBottom w:val="0"/>
      <w:divBdr>
        <w:top w:val="none" w:sz="0" w:space="0" w:color="auto"/>
        <w:left w:val="none" w:sz="0" w:space="0" w:color="auto"/>
        <w:bottom w:val="none" w:sz="0" w:space="0" w:color="auto"/>
        <w:right w:val="none" w:sz="0" w:space="0" w:color="auto"/>
      </w:divBdr>
      <w:divsChild>
        <w:div w:id="52853991">
          <w:marLeft w:val="0"/>
          <w:marRight w:val="0"/>
          <w:marTop w:val="0"/>
          <w:marBottom w:val="0"/>
          <w:divBdr>
            <w:top w:val="none" w:sz="0" w:space="0" w:color="auto"/>
            <w:left w:val="none" w:sz="0" w:space="0" w:color="auto"/>
            <w:bottom w:val="none" w:sz="0" w:space="0" w:color="auto"/>
            <w:right w:val="none" w:sz="0" w:space="0" w:color="auto"/>
          </w:divBdr>
          <w:divsChild>
            <w:div w:id="97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4094">
      <w:bodyDiv w:val="1"/>
      <w:marLeft w:val="0"/>
      <w:marRight w:val="0"/>
      <w:marTop w:val="0"/>
      <w:marBottom w:val="0"/>
      <w:divBdr>
        <w:top w:val="none" w:sz="0" w:space="0" w:color="auto"/>
        <w:left w:val="none" w:sz="0" w:space="0" w:color="auto"/>
        <w:bottom w:val="none" w:sz="0" w:space="0" w:color="auto"/>
        <w:right w:val="none" w:sz="0" w:space="0" w:color="auto"/>
      </w:divBdr>
    </w:div>
    <w:div w:id="1556118774">
      <w:bodyDiv w:val="1"/>
      <w:marLeft w:val="0"/>
      <w:marRight w:val="0"/>
      <w:marTop w:val="0"/>
      <w:marBottom w:val="0"/>
      <w:divBdr>
        <w:top w:val="none" w:sz="0" w:space="0" w:color="auto"/>
        <w:left w:val="none" w:sz="0" w:space="0" w:color="auto"/>
        <w:bottom w:val="none" w:sz="0" w:space="0" w:color="auto"/>
        <w:right w:val="none" w:sz="0" w:space="0" w:color="auto"/>
      </w:divBdr>
    </w:div>
    <w:div w:id="1556627918">
      <w:bodyDiv w:val="1"/>
      <w:marLeft w:val="0"/>
      <w:marRight w:val="0"/>
      <w:marTop w:val="0"/>
      <w:marBottom w:val="0"/>
      <w:divBdr>
        <w:top w:val="none" w:sz="0" w:space="0" w:color="auto"/>
        <w:left w:val="none" w:sz="0" w:space="0" w:color="auto"/>
        <w:bottom w:val="none" w:sz="0" w:space="0" w:color="auto"/>
        <w:right w:val="none" w:sz="0" w:space="0" w:color="auto"/>
      </w:divBdr>
    </w:div>
    <w:div w:id="1557623449">
      <w:bodyDiv w:val="1"/>
      <w:marLeft w:val="0"/>
      <w:marRight w:val="0"/>
      <w:marTop w:val="0"/>
      <w:marBottom w:val="0"/>
      <w:divBdr>
        <w:top w:val="none" w:sz="0" w:space="0" w:color="auto"/>
        <w:left w:val="none" w:sz="0" w:space="0" w:color="auto"/>
        <w:bottom w:val="none" w:sz="0" w:space="0" w:color="auto"/>
        <w:right w:val="none" w:sz="0" w:space="0" w:color="auto"/>
      </w:divBdr>
      <w:divsChild>
        <w:div w:id="2094206449">
          <w:marLeft w:val="0"/>
          <w:marRight w:val="0"/>
          <w:marTop w:val="0"/>
          <w:marBottom w:val="0"/>
          <w:divBdr>
            <w:top w:val="none" w:sz="0" w:space="0" w:color="auto"/>
            <w:left w:val="none" w:sz="0" w:space="0" w:color="auto"/>
            <w:bottom w:val="none" w:sz="0" w:space="0" w:color="auto"/>
            <w:right w:val="none" w:sz="0" w:space="0" w:color="auto"/>
          </w:divBdr>
          <w:divsChild>
            <w:div w:id="15541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0360">
      <w:bodyDiv w:val="1"/>
      <w:marLeft w:val="0"/>
      <w:marRight w:val="0"/>
      <w:marTop w:val="0"/>
      <w:marBottom w:val="0"/>
      <w:divBdr>
        <w:top w:val="none" w:sz="0" w:space="0" w:color="auto"/>
        <w:left w:val="none" w:sz="0" w:space="0" w:color="auto"/>
        <w:bottom w:val="none" w:sz="0" w:space="0" w:color="auto"/>
        <w:right w:val="none" w:sz="0" w:space="0" w:color="auto"/>
      </w:divBdr>
    </w:div>
    <w:div w:id="1588805679">
      <w:bodyDiv w:val="1"/>
      <w:marLeft w:val="0"/>
      <w:marRight w:val="0"/>
      <w:marTop w:val="0"/>
      <w:marBottom w:val="0"/>
      <w:divBdr>
        <w:top w:val="none" w:sz="0" w:space="0" w:color="auto"/>
        <w:left w:val="none" w:sz="0" w:space="0" w:color="auto"/>
        <w:bottom w:val="none" w:sz="0" w:space="0" w:color="auto"/>
        <w:right w:val="none" w:sz="0" w:space="0" w:color="auto"/>
      </w:divBdr>
      <w:divsChild>
        <w:div w:id="1097947818">
          <w:marLeft w:val="0"/>
          <w:marRight w:val="0"/>
          <w:marTop w:val="0"/>
          <w:marBottom w:val="0"/>
          <w:divBdr>
            <w:top w:val="none" w:sz="0" w:space="0" w:color="auto"/>
            <w:left w:val="none" w:sz="0" w:space="0" w:color="auto"/>
            <w:bottom w:val="none" w:sz="0" w:space="0" w:color="auto"/>
            <w:right w:val="none" w:sz="0" w:space="0" w:color="auto"/>
          </w:divBdr>
        </w:div>
      </w:divsChild>
    </w:div>
    <w:div w:id="1617758563">
      <w:bodyDiv w:val="1"/>
      <w:marLeft w:val="0"/>
      <w:marRight w:val="0"/>
      <w:marTop w:val="0"/>
      <w:marBottom w:val="0"/>
      <w:divBdr>
        <w:top w:val="none" w:sz="0" w:space="0" w:color="auto"/>
        <w:left w:val="none" w:sz="0" w:space="0" w:color="auto"/>
        <w:bottom w:val="none" w:sz="0" w:space="0" w:color="auto"/>
        <w:right w:val="none" w:sz="0" w:space="0" w:color="auto"/>
      </w:divBdr>
      <w:divsChild>
        <w:div w:id="1426196416">
          <w:marLeft w:val="0"/>
          <w:marRight w:val="0"/>
          <w:marTop w:val="0"/>
          <w:marBottom w:val="0"/>
          <w:divBdr>
            <w:top w:val="none" w:sz="0" w:space="0" w:color="auto"/>
            <w:left w:val="none" w:sz="0" w:space="0" w:color="auto"/>
            <w:bottom w:val="none" w:sz="0" w:space="0" w:color="auto"/>
            <w:right w:val="none" w:sz="0" w:space="0" w:color="auto"/>
          </w:divBdr>
          <w:divsChild>
            <w:div w:id="2123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30295">
      <w:bodyDiv w:val="1"/>
      <w:marLeft w:val="0"/>
      <w:marRight w:val="0"/>
      <w:marTop w:val="0"/>
      <w:marBottom w:val="0"/>
      <w:divBdr>
        <w:top w:val="none" w:sz="0" w:space="0" w:color="auto"/>
        <w:left w:val="none" w:sz="0" w:space="0" w:color="auto"/>
        <w:bottom w:val="none" w:sz="0" w:space="0" w:color="auto"/>
        <w:right w:val="none" w:sz="0" w:space="0" w:color="auto"/>
      </w:divBdr>
    </w:div>
    <w:div w:id="1645888737">
      <w:bodyDiv w:val="1"/>
      <w:marLeft w:val="0"/>
      <w:marRight w:val="0"/>
      <w:marTop w:val="0"/>
      <w:marBottom w:val="0"/>
      <w:divBdr>
        <w:top w:val="none" w:sz="0" w:space="0" w:color="auto"/>
        <w:left w:val="none" w:sz="0" w:space="0" w:color="auto"/>
        <w:bottom w:val="none" w:sz="0" w:space="0" w:color="auto"/>
        <w:right w:val="none" w:sz="0" w:space="0" w:color="auto"/>
      </w:divBdr>
      <w:divsChild>
        <w:div w:id="699939843">
          <w:marLeft w:val="0"/>
          <w:marRight w:val="0"/>
          <w:marTop w:val="0"/>
          <w:marBottom w:val="0"/>
          <w:divBdr>
            <w:top w:val="none" w:sz="0" w:space="0" w:color="auto"/>
            <w:left w:val="none" w:sz="0" w:space="0" w:color="auto"/>
            <w:bottom w:val="none" w:sz="0" w:space="0" w:color="auto"/>
            <w:right w:val="none" w:sz="0" w:space="0" w:color="auto"/>
          </w:divBdr>
        </w:div>
        <w:div w:id="1233472138">
          <w:marLeft w:val="0"/>
          <w:marRight w:val="0"/>
          <w:marTop w:val="0"/>
          <w:marBottom w:val="0"/>
          <w:divBdr>
            <w:top w:val="none" w:sz="0" w:space="0" w:color="auto"/>
            <w:left w:val="none" w:sz="0" w:space="0" w:color="auto"/>
            <w:bottom w:val="none" w:sz="0" w:space="0" w:color="auto"/>
            <w:right w:val="none" w:sz="0" w:space="0" w:color="auto"/>
          </w:divBdr>
        </w:div>
        <w:div w:id="1358585401">
          <w:marLeft w:val="0"/>
          <w:marRight w:val="0"/>
          <w:marTop w:val="0"/>
          <w:marBottom w:val="0"/>
          <w:divBdr>
            <w:top w:val="none" w:sz="0" w:space="0" w:color="auto"/>
            <w:left w:val="none" w:sz="0" w:space="0" w:color="auto"/>
            <w:bottom w:val="none" w:sz="0" w:space="0" w:color="auto"/>
            <w:right w:val="none" w:sz="0" w:space="0" w:color="auto"/>
          </w:divBdr>
        </w:div>
        <w:div w:id="1904020513">
          <w:marLeft w:val="0"/>
          <w:marRight w:val="0"/>
          <w:marTop w:val="0"/>
          <w:marBottom w:val="0"/>
          <w:divBdr>
            <w:top w:val="none" w:sz="0" w:space="0" w:color="auto"/>
            <w:left w:val="none" w:sz="0" w:space="0" w:color="auto"/>
            <w:bottom w:val="none" w:sz="0" w:space="0" w:color="auto"/>
            <w:right w:val="none" w:sz="0" w:space="0" w:color="auto"/>
          </w:divBdr>
        </w:div>
      </w:divsChild>
    </w:div>
    <w:div w:id="1646592499">
      <w:bodyDiv w:val="1"/>
      <w:marLeft w:val="0"/>
      <w:marRight w:val="0"/>
      <w:marTop w:val="0"/>
      <w:marBottom w:val="0"/>
      <w:divBdr>
        <w:top w:val="none" w:sz="0" w:space="0" w:color="auto"/>
        <w:left w:val="none" w:sz="0" w:space="0" w:color="auto"/>
        <w:bottom w:val="none" w:sz="0" w:space="0" w:color="auto"/>
        <w:right w:val="none" w:sz="0" w:space="0" w:color="auto"/>
      </w:divBdr>
    </w:div>
    <w:div w:id="1651665892">
      <w:bodyDiv w:val="1"/>
      <w:marLeft w:val="0"/>
      <w:marRight w:val="0"/>
      <w:marTop w:val="0"/>
      <w:marBottom w:val="0"/>
      <w:divBdr>
        <w:top w:val="none" w:sz="0" w:space="0" w:color="auto"/>
        <w:left w:val="none" w:sz="0" w:space="0" w:color="auto"/>
        <w:bottom w:val="none" w:sz="0" w:space="0" w:color="auto"/>
        <w:right w:val="none" w:sz="0" w:space="0" w:color="auto"/>
      </w:divBdr>
    </w:div>
    <w:div w:id="1661151174">
      <w:bodyDiv w:val="1"/>
      <w:marLeft w:val="0"/>
      <w:marRight w:val="0"/>
      <w:marTop w:val="0"/>
      <w:marBottom w:val="0"/>
      <w:divBdr>
        <w:top w:val="none" w:sz="0" w:space="0" w:color="auto"/>
        <w:left w:val="none" w:sz="0" w:space="0" w:color="auto"/>
        <w:bottom w:val="none" w:sz="0" w:space="0" w:color="auto"/>
        <w:right w:val="none" w:sz="0" w:space="0" w:color="auto"/>
      </w:divBdr>
    </w:div>
    <w:div w:id="1717075084">
      <w:bodyDiv w:val="1"/>
      <w:marLeft w:val="0"/>
      <w:marRight w:val="0"/>
      <w:marTop w:val="0"/>
      <w:marBottom w:val="0"/>
      <w:divBdr>
        <w:top w:val="none" w:sz="0" w:space="0" w:color="auto"/>
        <w:left w:val="none" w:sz="0" w:space="0" w:color="auto"/>
        <w:bottom w:val="none" w:sz="0" w:space="0" w:color="auto"/>
        <w:right w:val="none" w:sz="0" w:space="0" w:color="auto"/>
      </w:divBdr>
    </w:div>
    <w:div w:id="1719478643">
      <w:bodyDiv w:val="1"/>
      <w:marLeft w:val="0"/>
      <w:marRight w:val="0"/>
      <w:marTop w:val="0"/>
      <w:marBottom w:val="0"/>
      <w:divBdr>
        <w:top w:val="none" w:sz="0" w:space="0" w:color="auto"/>
        <w:left w:val="none" w:sz="0" w:space="0" w:color="auto"/>
        <w:bottom w:val="none" w:sz="0" w:space="0" w:color="auto"/>
        <w:right w:val="none" w:sz="0" w:space="0" w:color="auto"/>
      </w:divBdr>
      <w:divsChild>
        <w:div w:id="449789789">
          <w:marLeft w:val="0"/>
          <w:marRight w:val="0"/>
          <w:marTop w:val="0"/>
          <w:marBottom w:val="0"/>
          <w:divBdr>
            <w:top w:val="none" w:sz="0" w:space="0" w:color="auto"/>
            <w:left w:val="none" w:sz="0" w:space="0" w:color="auto"/>
            <w:bottom w:val="none" w:sz="0" w:space="0" w:color="auto"/>
            <w:right w:val="none" w:sz="0" w:space="0" w:color="auto"/>
          </w:divBdr>
          <w:divsChild>
            <w:div w:id="22291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39878">
      <w:bodyDiv w:val="1"/>
      <w:marLeft w:val="0"/>
      <w:marRight w:val="0"/>
      <w:marTop w:val="0"/>
      <w:marBottom w:val="0"/>
      <w:divBdr>
        <w:top w:val="none" w:sz="0" w:space="0" w:color="auto"/>
        <w:left w:val="none" w:sz="0" w:space="0" w:color="auto"/>
        <w:bottom w:val="none" w:sz="0" w:space="0" w:color="auto"/>
        <w:right w:val="none" w:sz="0" w:space="0" w:color="auto"/>
      </w:divBdr>
    </w:div>
    <w:div w:id="1735275555">
      <w:bodyDiv w:val="1"/>
      <w:marLeft w:val="0"/>
      <w:marRight w:val="0"/>
      <w:marTop w:val="0"/>
      <w:marBottom w:val="0"/>
      <w:divBdr>
        <w:top w:val="none" w:sz="0" w:space="0" w:color="auto"/>
        <w:left w:val="none" w:sz="0" w:space="0" w:color="auto"/>
        <w:bottom w:val="none" w:sz="0" w:space="0" w:color="auto"/>
        <w:right w:val="none" w:sz="0" w:space="0" w:color="auto"/>
      </w:divBdr>
    </w:div>
    <w:div w:id="1744984727">
      <w:bodyDiv w:val="1"/>
      <w:marLeft w:val="0"/>
      <w:marRight w:val="0"/>
      <w:marTop w:val="0"/>
      <w:marBottom w:val="0"/>
      <w:divBdr>
        <w:top w:val="none" w:sz="0" w:space="0" w:color="auto"/>
        <w:left w:val="none" w:sz="0" w:space="0" w:color="auto"/>
        <w:bottom w:val="none" w:sz="0" w:space="0" w:color="auto"/>
        <w:right w:val="none" w:sz="0" w:space="0" w:color="auto"/>
      </w:divBdr>
    </w:div>
    <w:div w:id="1784036601">
      <w:bodyDiv w:val="1"/>
      <w:marLeft w:val="0"/>
      <w:marRight w:val="0"/>
      <w:marTop w:val="0"/>
      <w:marBottom w:val="0"/>
      <w:divBdr>
        <w:top w:val="none" w:sz="0" w:space="0" w:color="auto"/>
        <w:left w:val="none" w:sz="0" w:space="0" w:color="auto"/>
        <w:bottom w:val="none" w:sz="0" w:space="0" w:color="auto"/>
        <w:right w:val="none" w:sz="0" w:space="0" w:color="auto"/>
      </w:divBdr>
    </w:div>
    <w:div w:id="1797793734">
      <w:bodyDiv w:val="1"/>
      <w:marLeft w:val="0"/>
      <w:marRight w:val="0"/>
      <w:marTop w:val="0"/>
      <w:marBottom w:val="0"/>
      <w:divBdr>
        <w:top w:val="none" w:sz="0" w:space="0" w:color="auto"/>
        <w:left w:val="none" w:sz="0" w:space="0" w:color="auto"/>
        <w:bottom w:val="none" w:sz="0" w:space="0" w:color="auto"/>
        <w:right w:val="none" w:sz="0" w:space="0" w:color="auto"/>
      </w:divBdr>
    </w:div>
    <w:div w:id="1812821201">
      <w:bodyDiv w:val="1"/>
      <w:marLeft w:val="0"/>
      <w:marRight w:val="0"/>
      <w:marTop w:val="0"/>
      <w:marBottom w:val="0"/>
      <w:divBdr>
        <w:top w:val="none" w:sz="0" w:space="0" w:color="auto"/>
        <w:left w:val="none" w:sz="0" w:space="0" w:color="auto"/>
        <w:bottom w:val="none" w:sz="0" w:space="0" w:color="auto"/>
        <w:right w:val="none" w:sz="0" w:space="0" w:color="auto"/>
      </w:divBdr>
      <w:divsChild>
        <w:div w:id="597756253">
          <w:marLeft w:val="446"/>
          <w:marRight w:val="0"/>
          <w:marTop w:val="0"/>
          <w:marBottom w:val="0"/>
          <w:divBdr>
            <w:top w:val="none" w:sz="0" w:space="0" w:color="auto"/>
            <w:left w:val="none" w:sz="0" w:space="0" w:color="auto"/>
            <w:bottom w:val="none" w:sz="0" w:space="0" w:color="auto"/>
            <w:right w:val="none" w:sz="0" w:space="0" w:color="auto"/>
          </w:divBdr>
        </w:div>
        <w:div w:id="934362916">
          <w:marLeft w:val="446"/>
          <w:marRight w:val="0"/>
          <w:marTop w:val="0"/>
          <w:marBottom w:val="0"/>
          <w:divBdr>
            <w:top w:val="none" w:sz="0" w:space="0" w:color="auto"/>
            <w:left w:val="none" w:sz="0" w:space="0" w:color="auto"/>
            <w:bottom w:val="none" w:sz="0" w:space="0" w:color="auto"/>
            <w:right w:val="none" w:sz="0" w:space="0" w:color="auto"/>
          </w:divBdr>
        </w:div>
        <w:div w:id="1370377183">
          <w:marLeft w:val="446"/>
          <w:marRight w:val="0"/>
          <w:marTop w:val="0"/>
          <w:marBottom w:val="0"/>
          <w:divBdr>
            <w:top w:val="none" w:sz="0" w:space="0" w:color="auto"/>
            <w:left w:val="none" w:sz="0" w:space="0" w:color="auto"/>
            <w:bottom w:val="none" w:sz="0" w:space="0" w:color="auto"/>
            <w:right w:val="none" w:sz="0" w:space="0" w:color="auto"/>
          </w:divBdr>
        </w:div>
        <w:div w:id="1439720941">
          <w:marLeft w:val="446"/>
          <w:marRight w:val="0"/>
          <w:marTop w:val="0"/>
          <w:marBottom w:val="0"/>
          <w:divBdr>
            <w:top w:val="none" w:sz="0" w:space="0" w:color="auto"/>
            <w:left w:val="none" w:sz="0" w:space="0" w:color="auto"/>
            <w:bottom w:val="none" w:sz="0" w:space="0" w:color="auto"/>
            <w:right w:val="none" w:sz="0" w:space="0" w:color="auto"/>
          </w:divBdr>
        </w:div>
        <w:div w:id="1610816237">
          <w:marLeft w:val="446"/>
          <w:marRight w:val="0"/>
          <w:marTop w:val="0"/>
          <w:marBottom w:val="0"/>
          <w:divBdr>
            <w:top w:val="none" w:sz="0" w:space="0" w:color="auto"/>
            <w:left w:val="none" w:sz="0" w:space="0" w:color="auto"/>
            <w:bottom w:val="none" w:sz="0" w:space="0" w:color="auto"/>
            <w:right w:val="none" w:sz="0" w:space="0" w:color="auto"/>
          </w:divBdr>
        </w:div>
        <w:div w:id="1863742743">
          <w:marLeft w:val="446"/>
          <w:marRight w:val="0"/>
          <w:marTop w:val="0"/>
          <w:marBottom w:val="0"/>
          <w:divBdr>
            <w:top w:val="none" w:sz="0" w:space="0" w:color="auto"/>
            <w:left w:val="none" w:sz="0" w:space="0" w:color="auto"/>
            <w:bottom w:val="none" w:sz="0" w:space="0" w:color="auto"/>
            <w:right w:val="none" w:sz="0" w:space="0" w:color="auto"/>
          </w:divBdr>
        </w:div>
      </w:divsChild>
    </w:div>
    <w:div w:id="1817990566">
      <w:bodyDiv w:val="1"/>
      <w:marLeft w:val="0"/>
      <w:marRight w:val="0"/>
      <w:marTop w:val="0"/>
      <w:marBottom w:val="0"/>
      <w:divBdr>
        <w:top w:val="none" w:sz="0" w:space="0" w:color="auto"/>
        <w:left w:val="none" w:sz="0" w:space="0" w:color="auto"/>
        <w:bottom w:val="none" w:sz="0" w:space="0" w:color="auto"/>
        <w:right w:val="none" w:sz="0" w:space="0" w:color="auto"/>
      </w:divBdr>
    </w:div>
    <w:div w:id="1822499452">
      <w:bodyDiv w:val="1"/>
      <w:marLeft w:val="0"/>
      <w:marRight w:val="0"/>
      <w:marTop w:val="0"/>
      <w:marBottom w:val="0"/>
      <w:divBdr>
        <w:top w:val="none" w:sz="0" w:space="0" w:color="auto"/>
        <w:left w:val="none" w:sz="0" w:space="0" w:color="auto"/>
        <w:bottom w:val="none" w:sz="0" w:space="0" w:color="auto"/>
        <w:right w:val="none" w:sz="0" w:space="0" w:color="auto"/>
      </w:divBdr>
      <w:divsChild>
        <w:div w:id="1221405525">
          <w:marLeft w:val="475"/>
          <w:marRight w:val="0"/>
          <w:marTop w:val="86"/>
          <w:marBottom w:val="120"/>
          <w:divBdr>
            <w:top w:val="none" w:sz="0" w:space="0" w:color="auto"/>
            <w:left w:val="none" w:sz="0" w:space="0" w:color="auto"/>
            <w:bottom w:val="none" w:sz="0" w:space="0" w:color="auto"/>
            <w:right w:val="none" w:sz="0" w:space="0" w:color="auto"/>
          </w:divBdr>
        </w:div>
        <w:div w:id="1880974238">
          <w:marLeft w:val="475"/>
          <w:marRight w:val="0"/>
          <w:marTop w:val="86"/>
          <w:marBottom w:val="120"/>
          <w:divBdr>
            <w:top w:val="none" w:sz="0" w:space="0" w:color="auto"/>
            <w:left w:val="none" w:sz="0" w:space="0" w:color="auto"/>
            <w:bottom w:val="none" w:sz="0" w:space="0" w:color="auto"/>
            <w:right w:val="none" w:sz="0" w:space="0" w:color="auto"/>
          </w:divBdr>
        </w:div>
        <w:div w:id="2111583196">
          <w:marLeft w:val="475"/>
          <w:marRight w:val="0"/>
          <w:marTop w:val="86"/>
          <w:marBottom w:val="120"/>
          <w:divBdr>
            <w:top w:val="none" w:sz="0" w:space="0" w:color="auto"/>
            <w:left w:val="none" w:sz="0" w:space="0" w:color="auto"/>
            <w:bottom w:val="none" w:sz="0" w:space="0" w:color="auto"/>
            <w:right w:val="none" w:sz="0" w:space="0" w:color="auto"/>
          </w:divBdr>
        </w:div>
      </w:divsChild>
    </w:div>
    <w:div w:id="1847283586">
      <w:bodyDiv w:val="1"/>
      <w:marLeft w:val="0"/>
      <w:marRight w:val="0"/>
      <w:marTop w:val="0"/>
      <w:marBottom w:val="0"/>
      <w:divBdr>
        <w:top w:val="none" w:sz="0" w:space="0" w:color="auto"/>
        <w:left w:val="none" w:sz="0" w:space="0" w:color="auto"/>
        <w:bottom w:val="none" w:sz="0" w:space="0" w:color="auto"/>
        <w:right w:val="none" w:sz="0" w:space="0" w:color="auto"/>
      </w:divBdr>
    </w:div>
    <w:div w:id="1884058043">
      <w:bodyDiv w:val="1"/>
      <w:marLeft w:val="0"/>
      <w:marRight w:val="0"/>
      <w:marTop w:val="0"/>
      <w:marBottom w:val="0"/>
      <w:divBdr>
        <w:top w:val="none" w:sz="0" w:space="0" w:color="auto"/>
        <w:left w:val="none" w:sz="0" w:space="0" w:color="auto"/>
        <w:bottom w:val="none" w:sz="0" w:space="0" w:color="auto"/>
        <w:right w:val="none" w:sz="0" w:space="0" w:color="auto"/>
      </w:divBdr>
    </w:div>
    <w:div w:id="1888566007">
      <w:bodyDiv w:val="1"/>
      <w:marLeft w:val="0"/>
      <w:marRight w:val="0"/>
      <w:marTop w:val="0"/>
      <w:marBottom w:val="0"/>
      <w:divBdr>
        <w:top w:val="none" w:sz="0" w:space="0" w:color="auto"/>
        <w:left w:val="none" w:sz="0" w:space="0" w:color="auto"/>
        <w:bottom w:val="none" w:sz="0" w:space="0" w:color="auto"/>
        <w:right w:val="none" w:sz="0" w:space="0" w:color="auto"/>
      </w:divBdr>
    </w:div>
    <w:div w:id="1892378910">
      <w:bodyDiv w:val="1"/>
      <w:marLeft w:val="0"/>
      <w:marRight w:val="0"/>
      <w:marTop w:val="0"/>
      <w:marBottom w:val="0"/>
      <w:divBdr>
        <w:top w:val="none" w:sz="0" w:space="0" w:color="auto"/>
        <w:left w:val="none" w:sz="0" w:space="0" w:color="auto"/>
        <w:bottom w:val="none" w:sz="0" w:space="0" w:color="auto"/>
        <w:right w:val="none" w:sz="0" w:space="0" w:color="auto"/>
      </w:divBdr>
    </w:div>
    <w:div w:id="1917476483">
      <w:bodyDiv w:val="1"/>
      <w:marLeft w:val="0"/>
      <w:marRight w:val="0"/>
      <w:marTop w:val="0"/>
      <w:marBottom w:val="0"/>
      <w:divBdr>
        <w:top w:val="none" w:sz="0" w:space="0" w:color="auto"/>
        <w:left w:val="none" w:sz="0" w:space="0" w:color="auto"/>
        <w:bottom w:val="none" w:sz="0" w:space="0" w:color="auto"/>
        <w:right w:val="none" w:sz="0" w:space="0" w:color="auto"/>
      </w:divBdr>
    </w:div>
    <w:div w:id="1952475799">
      <w:bodyDiv w:val="1"/>
      <w:marLeft w:val="0"/>
      <w:marRight w:val="0"/>
      <w:marTop w:val="0"/>
      <w:marBottom w:val="0"/>
      <w:divBdr>
        <w:top w:val="none" w:sz="0" w:space="0" w:color="auto"/>
        <w:left w:val="none" w:sz="0" w:space="0" w:color="auto"/>
        <w:bottom w:val="none" w:sz="0" w:space="0" w:color="auto"/>
        <w:right w:val="none" w:sz="0" w:space="0" w:color="auto"/>
      </w:divBdr>
      <w:divsChild>
        <w:div w:id="1724208217">
          <w:marLeft w:val="0"/>
          <w:marRight w:val="0"/>
          <w:marTop w:val="0"/>
          <w:marBottom w:val="0"/>
          <w:divBdr>
            <w:top w:val="none" w:sz="0" w:space="0" w:color="auto"/>
            <w:left w:val="none" w:sz="0" w:space="0" w:color="auto"/>
            <w:bottom w:val="none" w:sz="0" w:space="0" w:color="auto"/>
            <w:right w:val="none" w:sz="0" w:space="0" w:color="auto"/>
          </w:divBdr>
        </w:div>
      </w:divsChild>
    </w:div>
    <w:div w:id="1955404394">
      <w:bodyDiv w:val="1"/>
      <w:marLeft w:val="0"/>
      <w:marRight w:val="0"/>
      <w:marTop w:val="0"/>
      <w:marBottom w:val="0"/>
      <w:divBdr>
        <w:top w:val="none" w:sz="0" w:space="0" w:color="auto"/>
        <w:left w:val="none" w:sz="0" w:space="0" w:color="auto"/>
        <w:bottom w:val="none" w:sz="0" w:space="0" w:color="auto"/>
        <w:right w:val="none" w:sz="0" w:space="0" w:color="auto"/>
      </w:divBdr>
      <w:divsChild>
        <w:div w:id="105121618">
          <w:marLeft w:val="0"/>
          <w:marRight w:val="0"/>
          <w:marTop w:val="0"/>
          <w:marBottom w:val="0"/>
          <w:divBdr>
            <w:top w:val="none" w:sz="0" w:space="0" w:color="auto"/>
            <w:left w:val="none" w:sz="0" w:space="0" w:color="auto"/>
            <w:bottom w:val="none" w:sz="0" w:space="0" w:color="auto"/>
            <w:right w:val="none" w:sz="0" w:space="0" w:color="auto"/>
          </w:divBdr>
        </w:div>
        <w:div w:id="304969684">
          <w:marLeft w:val="0"/>
          <w:marRight w:val="0"/>
          <w:marTop w:val="0"/>
          <w:marBottom w:val="0"/>
          <w:divBdr>
            <w:top w:val="none" w:sz="0" w:space="0" w:color="auto"/>
            <w:left w:val="none" w:sz="0" w:space="0" w:color="auto"/>
            <w:bottom w:val="none" w:sz="0" w:space="0" w:color="auto"/>
            <w:right w:val="none" w:sz="0" w:space="0" w:color="auto"/>
          </w:divBdr>
        </w:div>
        <w:div w:id="519585842">
          <w:marLeft w:val="0"/>
          <w:marRight w:val="0"/>
          <w:marTop w:val="0"/>
          <w:marBottom w:val="0"/>
          <w:divBdr>
            <w:top w:val="none" w:sz="0" w:space="0" w:color="auto"/>
            <w:left w:val="none" w:sz="0" w:space="0" w:color="auto"/>
            <w:bottom w:val="none" w:sz="0" w:space="0" w:color="auto"/>
            <w:right w:val="none" w:sz="0" w:space="0" w:color="auto"/>
          </w:divBdr>
        </w:div>
        <w:div w:id="583488320">
          <w:marLeft w:val="0"/>
          <w:marRight w:val="0"/>
          <w:marTop w:val="0"/>
          <w:marBottom w:val="0"/>
          <w:divBdr>
            <w:top w:val="none" w:sz="0" w:space="0" w:color="auto"/>
            <w:left w:val="none" w:sz="0" w:space="0" w:color="auto"/>
            <w:bottom w:val="none" w:sz="0" w:space="0" w:color="auto"/>
            <w:right w:val="none" w:sz="0" w:space="0" w:color="auto"/>
          </w:divBdr>
        </w:div>
        <w:div w:id="733968746">
          <w:marLeft w:val="0"/>
          <w:marRight w:val="0"/>
          <w:marTop w:val="0"/>
          <w:marBottom w:val="0"/>
          <w:divBdr>
            <w:top w:val="none" w:sz="0" w:space="0" w:color="auto"/>
            <w:left w:val="none" w:sz="0" w:space="0" w:color="auto"/>
            <w:bottom w:val="none" w:sz="0" w:space="0" w:color="auto"/>
            <w:right w:val="none" w:sz="0" w:space="0" w:color="auto"/>
          </w:divBdr>
        </w:div>
        <w:div w:id="1301303197">
          <w:marLeft w:val="0"/>
          <w:marRight w:val="0"/>
          <w:marTop w:val="0"/>
          <w:marBottom w:val="0"/>
          <w:divBdr>
            <w:top w:val="none" w:sz="0" w:space="0" w:color="auto"/>
            <w:left w:val="none" w:sz="0" w:space="0" w:color="auto"/>
            <w:bottom w:val="none" w:sz="0" w:space="0" w:color="auto"/>
            <w:right w:val="none" w:sz="0" w:space="0" w:color="auto"/>
          </w:divBdr>
        </w:div>
        <w:div w:id="1623923674">
          <w:marLeft w:val="0"/>
          <w:marRight w:val="0"/>
          <w:marTop w:val="0"/>
          <w:marBottom w:val="0"/>
          <w:divBdr>
            <w:top w:val="none" w:sz="0" w:space="0" w:color="auto"/>
            <w:left w:val="none" w:sz="0" w:space="0" w:color="auto"/>
            <w:bottom w:val="none" w:sz="0" w:space="0" w:color="auto"/>
            <w:right w:val="none" w:sz="0" w:space="0" w:color="auto"/>
          </w:divBdr>
        </w:div>
        <w:div w:id="1640379286">
          <w:marLeft w:val="0"/>
          <w:marRight w:val="0"/>
          <w:marTop w:val="0"/>
          <w:marBottom w:val="0"/>
          <w:divBdr>
            <w:top w:val="none" w:sz="0" w:space="0" w:color="auto"/>
            <w:left w:val="none" w:sz="0" w:space="0" w:color="auto"/>
            <w:bottom w:val="none" w:sz="0" w:space="0" w:color="auto"/>
            <w:right w:val="none" w:sz="0" w:space="0" w:color="auto"/>
          </w:divBdr>
        </w:div>
        <w:div w:id="1876576704">
          <w:marLeft w:val="0"/>
          <w:marRight w:val="0"/>
          <w:marTop w:val="0"/>
          <w:marBottom w:val="0"/>
          <w:divBdr>
            <w:top w:val="none" w:sz="0" w:space="0" w:color="auto"/>
            <w:left w:val="none" w:sz="0" w:space="0" w:color="auto"/>
            <w:bottom w:val="none" w:sz="0" w:space="0" w:color="auto"/>
            <w:right w:val="none" w:sz="0" w:space="0" w:color="auto"/>
          </w:divBdr>
        </w:div>
      </w:divsChild>
    </w:div>
    <w:div w:id="1967078270">
      <w:bodyDiv w:val="1"/>
      <w:marLeft w:val="0"/>
      <w:marRight w:val="0"/>
      <w:marTop w:val="0"/>
      <w:marBottom w:val="0"/>
      <w:divBdr>
        <w:top w:val="none" w:sz="0" w:space="0" w:color="auto"/>
        <w:left w:val="none" w:sz="0" w:space="0" w:color="auto"/>
        <w:bottom w:val="none" w:sz="0" w:space="0" w:color="auto"/>
        <w:right w:val="none" w:sz="0" w:space="0" w:color="auto"/>
      </w:divBdr>
      <w:divsChild>
        <w:div w:id="1957831966">
          <w:marLeft w:val="0"/>
          <w:marRight w:val="0"/>
          <w:marTop w:val="0"/>
          <w:marBottom w:val="0"/>
          <w:divBdr>
            <w:top w:val="none" w:sz="0" w:space="0" w:color="auto"/>
            <w:left w:val="none" w:sz="0" w:space="0" w:color="auto"/>
            <w:bottom w:val="none" w:sz="0" w:space="0" w:color="auto"/>
            <w:right w:val="none" w:sz="0" w:space="0" w:color="auto"/>
          </w:divBdr>
        </w:div>
      </w:divsChild>
    </w:div>
    <w:div w:id="1968000314">
      <w:bodyDiv w:val="1"/>
      <w:marLeft w:val="0"/>
      <w:marRight w:val="0"/>
      <w:marTop w:val="0"/>
      <w:marBottom w:val="0"/>
      <w:divBdr>
        <w:top w:val="none" w:sz="0" w:space="0" w:color="auto"/>
        <w:left w:val="none" w:sz="0" w:space="0" w:color="auto"/>
        <w:bottom w:val="none" w:sz="0" w:space="0" w:color="auto"/>
        <w:right w:val="none" w:sz="0" w:space="0" w:color="auto"/>
      </w:divBdr>
      <w:divsChild>
        <w:div w:id="1421102272">
          <w:marLeft w:val="0"/>
          <w:marRight w:val="0"/>
          <w:marTop w:val="0"/>
          <w:marBottom w:val="0"/>
          <w:divBdr>
            <w:top w:val="none" w:sz="0" w:space="0" w:color="auto"/>
            <w:left w:val="none" w:sz="0" w:space="0" w:color="auto"/>
            <w:bottom w:val="none" w:sz="0" w:space="0" w:color="auto"/>
            <w:right w:val="none" w:sz="0" w:space="0" w:color="auto"/>
          </w:divBdr>
          <w:divsChild>
            <w:div w:id="14904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09877">
      <w:bodyDiv w:val="1"/>
      <w:marLeft w:val="0"/>
      <w:marRight w:val="0"/>
      <w:marTop w:val="0"/>
      <w:marBottom w:val="0"/>
      <w:divBdr>
        <w:top w:val="none" w:sz="0" w:space="0" w:color="auto"/>
        <w:left w:val="none" w:sz="0" w:space="0" w:color="auto"/>
        <w:bottom w:val="none" w:sz="0" w:space="0" w:color="auto"/>
        <w:right w:val="none" w:sz="0" w:space="0" w:color="auto"/>
      </w:divBdr>
      <w:divsChild>
        <w:div w:id="497427676">
          <w:marLeft w:val="0"/>
          <w:marRight w:val="0"/>
          <w:marTop w:val="0"/>
          <w:marBottom w:val="0"/>
          <w:divBdr>
            <w:top w:val="none" w:sz="0" w:space="0" w:color="auto"/>
            <w:left w:val="none" w:sz="0" w:space="0" w:color="auto"/>
            <w:bottom w:val="none" w:sz="0" w:space="0" w:color="auto"/>
            <w:right w:val="none" w:sz="0" w:space="0" w:color="auto"/>
          </w:divBdr>
        </w:div>
        <w:div w:id="640497260">
          <w:marLeft w:val="0"/>
          <w:marRight w:val="0"/>
          <w:marTop w:val="0"/>
          <w:marBottom w:val="0"/>
          <w:divBdr>
            <w:top w:val="none" w:sz="0" w:space="0" w:color="auto"/>
            <w:left w:val="none" w:sz="0" w:space="0" w:color="auto"/>
            <w:bottom w:val="none" w:sz="0" w:space="0" w:color="auto"/>
            <w:right w:val="none" w:sz="0" w:space="0" w:color="auto"/>
          </w:divBdr>
        </w:div>
        <w:div w:id="658461289">
          <w:marLeft w:val="0"/>
          <w:marRight w:val="0"/>
          <w:marTop w:val="0"/>
          <w:marBottom w:val="0"/>
          <w:divBdr>
            <w:top w:val="none" w:sz="0" w:space="0" w:color="auto"/>
            <w:left w:val="none" w:sz="0" w:space="0" w:color="auto"/>
            <w:bottom w:val="none" w:sz="0" w:space="0" w:color="auto"/>
            <w:right w:val="none" w:sz="0" w:space="0" w:color="auto"/>
          </w:divBdr>
        </w:div>
      </w:divsChild>
    </w:div>
    <w:div w:id="2019379811">
      <w:bodyDiv w:val="1"/>
      <w:marLeft w:val="0"/>
      <w:marRight w:val="0"/>
      <w:marTop w:val="0"/>
      <w:marBottom w:val="0"/>
      <w:divBdr>
        <w:top w:val="none" w:sz="0" w:space="0" w:color="auto"/>
        <w:left w:val="none" w:sz="0" w:space="0" w:color="auto"/>
        <w:bottom w:val="none" w:sz="0" w:space="0" w:color="auto"/>
        <w:right w:val="none" w:sz="0" w:space="0" w:color="auto"/>
      </w:divBdr>
    </w:div>
    <w:div w:id="2025941043">
      <w:bodyDiv w:val="1"/>
      <w:marLeft w:val="0"/>
      <w:marRight w:val="0"/>
      <w:marTop w:val="0"/>
      <w:marBottom w:val="0"/>
      <w:divBdr>
        <w:top w:val="none" w:sz="0" w:space="0" w:color="auto"/>
        <w:left w:val="none" w:sz="0" w:space="0" w:color="auto"/>
        <w:bottom w:val="none" w:sz="0" w:space="0" w:color="auto"/>
        <w:right w:val="none" w:sz="0" w:space="0" w:color="auto"/>
      </w:divBdr>
    </w:div>
    <w:div w:id="2026470589">
      <w:bodyDiv w:val="1"/>
      <w:marLeft w:val="0"/>
      <w:marRight w:val="0"/>
      <w:marTop w:val="0"/>
      <w:marBottom w:val="0"/>
      <w:divBdr>
        <w:top w:val="none" w:sz="0" w:space="0" w:color="auto"/>
        <w:left w:val="none" w:sz="0" w:space="0" w:color="auto"/>
        <w:bottom w:val="none" w:sz="0" w:space="0" w:color="auto"/>
        <w:right w:val="none" w:sz="0" w:space="0" w:color="auto"/>
      </w:divBdr>
    </w:div>
    <w:div w:id="2032804014">
      <w:bodyDiv w:val="1"/>
      <w:marLeft w:val="0"/>
      <w:marRight w:val="0"/>
      <w:marTop w:val="0"/>
      <w:marBottom w:val="0"/>
      <w:divBdr>
        <w:top w:val="none" w:sz="0" w:space="0" w:color="auto"/>
        <w:left w:val="none" w:sz="0" w:space="0" w:color="auto"/>
        <w:bottom w:val="none" w:sz="0" w:space="0" w:color="auto"/>
        <w:right w:val="none" w:sz="0" w:space="0" w:color="auto"/>
      </w:divBdr>
      <w:divsChild>
        <w:div w:id="1657762987">
          <w:marLeft w:val="0"/>
          <w:marRight w:val="0"/>
          <w:marTop w:val="0"/>
          <w:marBottom w:val="0"/>
          <w:divBdr>
            <w:top w:val="none" w:sz="0" w:space="0" w:color="auto"/>
            <w:left w:val="none" w:sz="0" w:space="0" w:color="auto"/>
            <w:bottom w:val="none" w:sz="0" w:space="0" w:color="auto"/>
            <w:right w:val="none" w:sz="0" w:space="0" w:color="auto"/>
          </w:divBdr>
        </w:div>
        <w:div w:id="1705981338">
          <w:marLeft w:val="0"/>
          <w:marRight w:val="0"/>
          <w:marTop w:val="0"/>
          <w:marBottom w:val="0"/>
          <w:divBdr>
            <w:top w:val="none" w:sz="0" w:space="0" w:color="auto"/>
            <w:left w:val="none" w:sz="0" w:space="0" w:color="auto"/>
            <w:bottom w:val="none" w:sz="0" w:space="0" w:color="auto"/>
            <w:right w:val="none" w:sz="0" w:space="0" w:color="auto"/>
          </w:divBdr>
        </w:div>
        <w:div w:id="1964844985">
          <w:marLeft w:val="0"/>
          <w:marRight w:val="0"/>
          <w:marTop w:val="0"/>
          <w:marBottom w:val="0"/>
          <w:divBdr>
            <w:top w:val="none" w:sz="0" w:space="0" w:color="auto"/>
            <w:left w:val="none" w:sz="0" w:space="0" w:color="auto"/>
            <w:bottom w:val="none" w:sz="0" w:space="0" w:color="auto"/>
            <w:right w:val="none" w:sz="0" w:space="0" w:color="auto"/>
          </w:divBdr>
        </w:div>
        <w:div w:id="2140301982">
          <w:marLeft w:val="0"/>
          <w:marRight w:val="0"/>
          <w:marTop w:val="0"/>
          <w:marBottom w:val="0"/>
          <w:divBdr>
            <w:top w:val="none" w:sz="0" w:space="0" w:color="auto"/>
            <w:left w:val="none" w:sz="0" w:space="0" w:color="auto"/>
            <w:bottom w:val="none" w:sz="0" w:space="0" w:color="auto"/>
            <w:right w:val="none" w:sz="0" w:space="0" w:color="auto"/>
          </w:divBdr>
        </w:div>
      </w:divsChild>
    </w:div>
    <w:div w:id="2038505815">
      <w:bodyDiv w:val="1"/>
      <w:marLeft w:val="0"/>
      <w:marRight w:val="0"/>
      <w:marTop w:val="0"/>
      <w:marBottom w:val="0"/>
      <w:divBdr>
        <w:top w:val="none" w:sz="0" w:space="0" w:color="auto"/>
        <w:left w:val="none" w:sz="0" w:space="0" w:color="auto"/>
        <w:bottom w:val="none" w:sz="0" w:space="0" w:color="auto"/>
        <w:right w:val="none" w:sz="0" w:space="0" w:color="auto"/>
      </w:divBdr>
      <w:divsChild>
        <w:div w:id="419914471">
          <w:marLeft w:val="994"/>
          <w:marRight w:val="0"/>
          <w:marTop w:val="77"/>
          <w:marBottom w:val="120"/>
          <w:divBdr>
            <w:top w:val="none" w:sz="0" w:space="0" w:color="auto"/>
            <w:left w:val="none" w:sz="0" w:space="0" w:color="auto"/>
            <w:bottom w:val="none" w:sz="0" w:space="0" w:color="auto"/>
            <w:right w:val="none" w:sz="0" w:space="0" w:color="auto"/>
          </w:divBdr>
        </w:div>
        <w:div w:id="539633259">
          <w:marLeft w:val="994"/>
          <w:marRight w:val="0"/>
          <w:marTop w:val="77"/>
          <w:marBottom w:val="120"/>
          <w:divBdr>
            <w:top w:val="none" w:sz="0" w:space="0" w:color="auto"/>
            <w:left w:val="none" w:sz="0" w:space="0" w:color="auto"/>
            <w:bottom w:val="none" w:sz="0" w:space="0" w:color="auto"/>
            <w:right w:val="none" w:sz="0" w:space="0" w:color="auto"/>
          </w:divBdr>
        </w:div>
        <w:div w:id="620307769">
          <w:marLeft w:val="994"/>
          <w:marRight w:val="0"/>
          <w:marTop w:val="77"/>
          <w:marBottom w:val="120"/>
          <w:divBdr>
            <w:top w:val="none" w:sz="0" w:space="0" w:color="auto"/>
            <w:left w:val="none" w:sz="0" w:space="0" w:color="auto"/>
            <w:bottom w:val="none" w:sz="0" w:space="0" w:color="auto"/>
            <w:right w:val="none" w:sz="0" w:space="0" w:color="auto"/>
          </w:divBdr>
        </w:div>
        <w:div w:id="1240752092">
          <w:marLeft w:val="475"/>
          <w:marRight w:val="0"/>
          <w:marTop w:val="86"/>
          <w:marBottom w:val="60"/>
          <w:divBdr>
            <w:top w:val="none" w:sz="0" w:space="0" w:color="auto"/>
            <w:left w:val="none" w:sz="0" w:space="0" w:color="auto"/>
            <w:bottom w:val="none" w:sz="0" w:space="0" w:color="auto"/>
            <w:right w:val="none" w:sz="0" w:space="0" w:color="auto"/>
          </w:divBdr>
        </w:div>
        <w:div w:id="1595356734">
          <w:marLeft w:val="994"/>
          <w:marRight w:val="0"/>
          <w:marTop w:val="77"/>
          <w:marBottom w:val="120"/>
          <w:divBdr>
            <w:top w:val="none" w:sz="0" w:space="0" w:color="auto"/>
            <w:left w:val="none" w:sz="0" w:space="0" w:color="auto"/>
            <w:bottom w:val="none" w:sz="0" w:space="0" w:color="auto"/>
            <w:right w:val="none" w:sz="0" w:space="0" w:color="auto"/>
          </w:divBdr>
        </w:div>
        <w:div w:id="1753963143">
          <w:marLeft w:val="475"/>
          <w:marRight w:val="0"/>
          <w:marTop w:val="86"/>
          <w:marBottom w:val="60"/>
          <w:divBdr>
            <w:top w:val="none" w:sz="0" w:space="0" w:color="auto"/>
            <w:left w:val="none" w:sz="0" w:space="0" w:color="auto"/>
            <w:bottom w:val="none" w:sz="0" w:space="0" w:color="auto"/>
            <w:right w:val="none" w:sz="0" w:space="0" w:color="auto"/>
          </w:divBdr>
        </w:div>
        <w:div w:id="1772314478">
          <w:marLeft w:val="475"/>
          <w:marRight w:val="0"/>
          <w:marTop w:val="86"/>
          <w:marBottom w:val="60"/>
          <w:divBdr>
            <w:top w:val="none" w:sz="0" w:space="0" w:color="auto"/>
            <w:left w:val="none" w:sz="0" w:space="0" w:color="auto"/>
            <w:bottom w:val="none" w:sz="0" w:space="0" w:color="auto"/>
            <w:right w:val="none" w:sz="0" w:space="0" w:color="auto"/>
          </w:divBdr>
        </w:div>
        <w:div w:id="2098673926">
          <w:marLeft w:val="994"/>
          <w:marRight w:val="0"/>
          <w:marTop w:val="77"/>
          <w:marBottom w:val="120"/>
          <w:divBdr>
            <w:top w:val="none" w:sz="0" w:space="0" w:color="auto"/>
            <w:left w:val="none" w:sz="0" w:space="0" w:color="auto"/>
            <w:bottom w:val="none" w:sz="0" w:space="0" w:color="auto"/>
            <w:right w:val="none" w:sz="0" w:space="0" w:color="auto"/>
          </w:divBdr>
        </w:div>
        <w:div w:id="2129658800">
          <w:marLeft w:val="994"/>
          <w:marRight w:val="0"/>
          <w:marTop w:val="77"/>
          <w:marBottom w:val="120"/>
          <w:divBdr>
            <w:top w:val="none" w:sz="0" w:space="0" w:color="auto"/>
            <w:left w:val="none" w:sz="0" w:space="0" w:color="auto"/>
            <w:bottom w:val="none" w:sz="0" w:space="0" w:color="auto"/>
            <w:right w:val="none" w:sz="0" w:space="0" w:color="auto"/>
          </w:divBdr>
        </w:div>
      </w:divsChild>
    </w:div>
    <w:div w:id="2083289885">
      <w:bodyDiv w:val="1"/>
      <w:marLeft w:val="0"/>
      <w:marRight w:val="0"/>
      <w:marTop w:val="0"/>
      <w:marBottom w:val="0"/>
      <w:divBdr>
        <w:top w:val="none" w:sz="0" w:space="0" w:color="auto"/>
        <w:left w:val="none" w:sz="0" w:space="0" w:color="auto"/>
        <w:bottom w:val="none" w:sz="0" w:space="0" w:color="auto"/>
        <w:right w:val="none" w:sz="0" w:space="0" w:color="auto"/>
      </w:divBdr>
    </w:div>
    <w:div w:id="2093121203">
      <w:bodyDiv w:val="1"/>
      <w:marLeft w:val="0"/>
      <w:marRight w:val="0"/>
      <w:marTop w:val="0"/>
      <w:marBottom w:val="0"/>
      <w:divBdr>
        <w:top w:val="none" w:sz="0" w:space="0" w:color="auto"/>
        <w:left w:val="none" w:sz="0" w:space="0" w:color="auto"/>
        <w:bottom w:val="none" w:sz="0" w:space="0" w:color="auto"/>
        <w:right w:val="none" w:sz="0" w:space="0" w:color="auto"/>
      </w:divBdr>
      <w:divsChild>
        <w:div w:id="1203592005">
          <w:marLeft w:val="0"/>
          <w:marRight w:val="0"/>
          <w:marTop w:val="0"/>
          <w:marBottom w:val="0"/>
          <w:divBdr>
            <w:top w:val="none" w:sz="0" w:space="0" w:color="auto"/>
            <w:left w:val="none" w:sz="0" w:space="0" w:color="auto"/>
            <w:bottom w:val="none" w:sz="0" w:space="0" w:color="auto"/>
            <w:right w:val="none" w:sz="0" w:space="0" w:color="auto"/>
          </w:divBdr>
        </w:div>
      </w:divsChild>
    </w:div>
    <w:div w:id="2096777632">
      <w:bodyDiv w:val="1"/>
      <w:marLeft w:val="0"/>
      <w:marRight w:val="0"/>
      <w:marTop w:val="0"/>
      <w:marBottom w:val="0"/>
      <w:divBdr>
        <w:top w:val="none" w:sz="0" w:space="0" w:color="auto"/>
        <w:left w:val="none" w:sz="0" w:space="0" w:color="auto"/>
        <w:bottom w:val="none" w:sz="0" w:space="0" w:color="auto"/>
        <w:right w:val="none" w:sz="0" w:space="0" w:color="auto"/>
      </w:divBdr>
    </w:div>
    <w:div w:id="2097969995">
      <w:bodyDiv w:val="1"/>
      <w:marLeft w:val="0"/>
      <w:marRight w:val="0"/>
      <w:marTop w:val="0"/>
      <w:marBottom w:val="0"/>
      <w:divBdr>
        <w:top w:val="none" w:sz="0" w:space="0" w:color="auto"/>
        <w:left w:val="none" w:sz="0" w:space="0" w:color="auto"/>
        <w:bottom w:val="none" w:sz="0" w:space="0" w:color="auto"/>
        <w:right w:val="none" w:sz="0" w:space="0" w:color="auto"/>
      </w:divBdr>
    </w:div>
    <w:div w:id="21167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anna-dsb.com/subscribe-to-notifications/" TargetMode="External" Id="rId13" /><Relationship Type="http://schemas.openxmlformats.org/officeDocument/2006/relationships/hyperlink" Target="https://www.anna-dsb.com/2021/03/29/the-dsb-opens-rfi-on-reference-data-provider/" TargetMode="External" Id="rId18" /><Relationship Type="http://schemas.openxmlformats.org/officeDocument/2006/relationships/hyperlink" Target="https://prod.anna-dsb.com/" TargetMode="External" Id="rId26" /><Relationship Type="http://schemas.openxmlformats.org/officeDocument/2006/relationships/customXml" Target="../customXml/item4.xml" Id="rId39" /><Relationship Type="http://schemas.openxmlformats.org/officeDocument/2006/relationships/hyperlink" Target="https://www.iso20022.org/" TargetMode="External" Id="rId21" /><Relationship Type="http://schemas.openxmlformats.org/officeDocument/2006/relationships/footer" Target="footer2.xml" Id="rId34" /><Relationship Type="http://schemas.openxmlformats.org/officeDocument/2006/relationships/endnotes" Target="endnotes.xml" Id="rId7" /><Relationship Type="http://schemas.openxmlformats.org/officeDocument/2006/relationships/hyperlink" Target="mailto:otc.data@anna-dsb.com" TargetMode="External" Id="rId12" /><Relationship Type="http://schemas.openxmlformats.org/officeDocument/2006/relationships/hyperlink" Target="https://www.anna-dsb.com/2021/03/29/the-dsb-opens-rfi-on-reference-data-provider/" TargetMode="External" Id="rId17" /><Relationship Type="http://schemas.openxmlformats.org/officeDocument/2006/relationships/hyperlink" Target="https://www.anna-dsb.com/upi-fee-model-consultation-2021/" TargetMode="External" Id="rId25" /><Relationship Type="http://schemas.openxmlformats.org/officeDocument/2006/relationships/header" Target="header1.xml" Id="rId33" /><Relationship Type="http://schemas.openxmlformats.org/officeDocument/2006/relationships/customXml" Target="../customXml/item3.xml" Id="rId38"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hyperlink" Target="https://www.iso.org/standard/77308.html" TargetMode="External" Id="rId20" /><Relationship Type="http://schemas.openxmlformats.org/officeDocument/2006/relationships/image" Target="media/image8.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anna-dsb.com/upi/" TargetMode="External" Id="rId11" /><Relationship Type="http://schemas.openxmlformats.org/officeDocument/2006/relationships/image" Target="media/image7.png" Id="rId24" /><Relationship Type="http://schemas.openxmlformats.org/officeDocument/2006/relationships/footer" Target="footer1.xml" Id="rId32" /><Relationship Type="http://schemas.openxmlformats.org/officeDocument/2006/relationships/theme" Target="theme/theme1.xml" Id="rId37" /><Relationship Type="http://schemas.openxmlformats.org/officeDocument/2006/relationships/customXml" Target="../customXml/item5.xml" Id="rId40"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image" Target="media/image6.png" Id="rId23" /><Relationship Type="http://schemas.openxmlformats.org/officeDocument/2006/relationships/hyperlink" Target="https://prod.anna-dsb.com/" TargetMode="External" Id="rId28" /><Relationship Type="http://schemas.openxmlformats.org/officeDocument/2006/relationships/glossaryDocument" Target="glossary/document.xml" Id="rId36" /><Relationship Type="http://schemas.openxmlformats.org/officeDocument/2006/relationships/hyperlink" Target="mailto:industry_consultation@anna-dsb.com" TargetMode="External" Id="rId10" /><Relationship Type="http://schemas.openxmlformats.org/officeDocument/2006/relationships/hyperlink" Target="https://www.iso.org/standard/80506.html" TargetMode="External" Id="rId19" /><Relationship Type="http://schemas.openxmlformats.org/officeDocument/2006/relationships/hyperlink" Target="mailto:industry_consultation@anna-dsb.com" TargetMode="External" Id="rId31"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image" Target="media/image3.png" Id="rId14" /><Relationship Type="http://schemas.openxmlformats.org/officeDocument/2006/relationships/hyperlink" Target="https://www.iso.org/standard/78829.html" TargetMode="External" Id="rId22" /><Relationship Type="http://schemas.openxmlformats.org/officeDocument/2006/relationships/hyperlink" Target="https://prod.anna-dsb.com/" TargetMode="External" Id="rId27" /><Relationship Type="http://schemas.openxmlformats.org/officeDocument/2006/relationships/image" Target="media/image9.emf" Id="rId30" /><Relationship Type="http://schemas.openxmlformats.org/officeDocument/2006/relationships/fontTable" Target="fontTable.xml" Id="rId35" /><Relationship Type="http://schemas.openxmlformats.org/officeDocument/2006/relationships/image" Target="media/image1.jpg" Id="rId8" /><Relationship Type="http://schemas.openxmlformats.org/officeDocument/2006/relationships/styles" Target="styles.xml" Id="rId3" /></Relationships>
</file>

<file path=word/_rels/footnotes.xml.rels><?xml version="1.0" encoding="UTF-8" standalone="yes"?>
<Relationships xmlns="http://schemas.openxmlformats.org/package/2006/relationships"><Relationship Id="rId8" Type="http://schemas.openxmlformats.org/officeDocument/2006/relationships/hyperlink" Target="https://www.iso.org/standard/77308.html" TargetMode="External"/><Relationship Id="rId13" Type="http://schemas.openxmlformats.org/officeDocument/2006/relationships/hyperlink" Target="https://www.bis.org/cpmi/publ/d175.pdf" TargetMode="External"/><Relationship Id="rId18" Type="http://schemas.openxmlformats.org/officeDocument/2006/relationships/hyperlink" Target="https://committee.iso.org/sites/tc68/home/news/content-left-area/news-and-updates/unique-product-identifier-upi-ba.html" TargetMode="External"/><Relationship Id="rId3" Type="http://schemas.openxmlformats.org/officeDocument/2006/relationships/hyperlink" Target="https://www.anna-dsb.com/upi/" TargetMode="External"/><Relationship Id="rId21" Type="http://schemas.openxmlformats.org/officeDocument/2006/relationships/hyperlink" Target="https://www.leiroc.org/about/membersandobservers/index.htm" TargetMode="External"/><Relationship Id="rId7" Type="http://schemas.openxmlformats.org/officeDocument/2006/relationships/hyperlink" Target="https://www.iso.org/standard/80506.html" TargetMode="External"/><Relationship Id="rId12" Type="http://schemas.openxmlformats.org/officeDocument/2006/relationships/hyperlink" Target="https://www.bis.org/cpmi/publ/d158.pdf" TargetMode="External"/><Relationship Id="rId17" Type="http://schemas.openxmlformats.org/officeDocument/2006/relationships/hyperlink" Target="https://www.leiroc.org/publications/gls/roc_20201001-1.pdf" TargetMode="External"/><Relationship Id="rId25" Type="http://schemas.openxmlformats.org/officeDocument/2006/relationships/hyperlink" Target="https://www.anna-dsb.com/upi-qa/" TargetMode="External"/><Relationship Id="rId2" Type="http://schemas.openxmlformats.org/officeDocument/2006/relationships/hyperlink" Target="https://www.anna-dsb.com/download/upi-faq/" TargetMode="External"/><Relationship Id="rId16" Type="http://schemas.openxmlformats.org/officeDocument/2006/relationships/hyperlink" Target="https://www.fsb.org/2020/09/lei-roc-to-become-governance-body-for-otc-derivatives-identifiers/" TargetMode="External"/><Relationship Id="rId20" Type="http://schemas.openxmlformats.org/officeDocument/2006/relationships/hyperlink" Target="https://www.anna-dsb.com/technology-advisory-committee/" TargetMode="External"/><Relationship Id="rId1" Type="http://schemas.openxmlformats.org/officeDocument/2006/relationships/hyperlink" Target="https://www.fsb.org/2019/05/fsb-designates-dsb-as-unique-product-identifier-upi-service-provider/" TargetMode="External"/><Relationship Id="rId6" Type="http://schemas.openxmlformats.org/officeDocument/2006/relationships/hyperlink" Target="https://www.esma.europa.eu/sites/default/files/library/esma74-362-1013_final_report_mifir_review_-_data_reporting.pdf" TargetMode="External"/><Relationship Id="rId11" Type="http://schemas.openxmlformats.org/officeDocument/2006/relationships/hyperlink" Target="http://www.bis.org/cpmi/publ/d169.htm" TargetMode="External"/><Relationship Id="rId24" Type="http://schemas.openxmlformats.org/officeDocument/2006/relationships/hyperlink" Target="https://www.anna-dsb.com/2020/04/27/so-whats-in-the-cfi-upi-and-otc-isin/" TargetMode="External"/><Relationship Id="rId5" Type="http://schemas.openxmlformats.org/officeDocument/2006/relationships/hyperlink" Target="https://www.anna-dsb.com/2021/03/15/monthly-dsb-metrics-february-2021/" TargetMode="External"/><Relationship Id="rId15" Type="http://schemas.openxmlformats.org/officeDocument/2006/relationships/hyperlink" Target="https://www.leiroc.org/publications/gls/roc_20201001-2.pdf" TargetMode="External"/><Relationship Id="rId23" Type="http://schemas.openxmlformats.org/officeDocument/2006/relationships/hyperlink" Target="https://www.anna-dsb.com/download/2021-industry-consultation-paper/" TargetMode="External"/><Relationship Id="rId10" Type="http://schemas.openxmlformats.org/officeDocument/2006/relationships/hyperlink" Target="https://www.iso.org/standard/78829.html" TargetMode="External"/><Relationship Id="rId19" Type="http://schemas.openxmlformats.org/officeDocument/2006/relationships/hyperlink" Target="https://www.anna-dsb.com/product-committee/" TargetMode="External"/><Relationship Id="rId4" Type="http://schemas.openxmlformats.org/officeDocument/2006/relationships/hyperlink" Target="https://www.anna-dsb.com/subscribe-to-notifications/" TargetMode="External"/><Relationship Id="rId9" Type="http://schemas.openxmlformats.org/officeDocument/2006/relationships/hyperlink" Target="https://www.iso20022.org/" TargetMode="External"/><Relationship Id="rId14" Type="http://schemas.openxmlformats.org/officeDocument/2006/relationships/hyperlink" Target="https://www.fsb.org/2019/10/governance-arrangements-for-the-upi/" TargetMode="External"/><Relationship Id="rId22" Type="http://schemas.openxmlformats.org/officeDocument/2006/relationships/hyperlink" Target="https://www.fsb.org/2019/10/governance-arrangements-for-the-upi/"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2.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94F4A15E6884F5C8410BB9E7A201508"/>
        <w:category>
          <w:name w:val="General"/>
          <w:gallery w:val="placeholder"/>
        </w:category>
        <w:types>
          <w:type w:val="bbPlcHdr"/>
        </w:types>
        <w:behaviors>
          <w:behavior w:val="content"/>
        </w:behaviors>
        <w:guid w:val="{DC8F626A-A738-4FAD-AE97-9F27CF70A7A2}"/>
      </w:docPartPr>
      <w:docPartBody>
        <w:p w:rsidR="00AA0E96" w:rsidRDefault="00DC3096" w:rsidP="00DC3096">
          <w:pPr>
            <w:pStyle w:val="C94F4A15E6884F5C8410BB9E7A201508"/>
          </w:pPr>
          <w:r>
            <w:rPr>
              <w:rFonts w:eastAsiaTheme="minorHAnsi"/>
            </w:rPr>
            <w:t>Select Type</w:t>
          </w:r>
        </w:p>
      </w:docPartBody>
    </w:docPart>
    <w:docPart>
      <w:docPartPr>
        <w:name w:val="F1CDE436DE32467194F83E01507DBAC4"/>
        <w:category>
          <w:name w:val="General"/>
          <w:gallery w:val="placeholder"/>
        </w:category>
        <w:types>
          <w:type w:val="bbPlcHdr"/>
        </w:types>
        <w:behaviors>
          <w:behavior w:val="content"/>
        </w:behaviors>
        <w:guid w:val="{21B8FA34-3D54-418B-ACC7-1314CBFA76AE}"/>
      </w:docPartPr>
      <w:docPartBody>
        <w:p w:rsidR="00AA0E96" w:rsidRDefault="00DC3096" w:rsidP="00DC3096">
          <w:pPr>
            <w:pStyle w:val="F1CDE436DE32467194F83E01507DBAC4"/>
          </w:pPr>
          <w:r>
            <w:rPr>
              <w:rFonts w:eastAsiaTheme="minorHAnsi"/>
            </w:rPr>
            <w:t>Select 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altName w:val="Yu Gothic"/>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096"/>
    <w:rsid w:val="00183CC8"/>
    <w:rsid w:val="0044450F"/>
    <w:rsid w:val="004C3C5A"/>
    <w:rsid w:val="005343D8"/>
    <w:rsid w:val="006728B3"/>
    <w:rsid w:val="00AA0E96"/>
    <w:rsid w:val="00CF745E"/>
    <w:rsid w:val="00DC3096"/>
    <w:rsid w:val="00FE07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4F4A15E6884F5C8410BB9E7A201508">
    <w:name w:val="C94F4A15E6884F5C8410BB9E7A201508"/>
    <w:rsid w:val="00DC3096"/>
  </w:style>
  <w:style w:type="paragraph" w:customStyle="1" w:styleId="F1CDE436DE32467194F83E01507DBAC4">
    <w:name w:val="F1CDE436DE32467194F83E01507DBAC4"/>
    <w:rsid w:val="00DC30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94DD07BC474A342B1736545077809B2" ma:contentTypeVersion="11" ma:contentTypeDescription="Create a new document." ma:contentTypeScope="" ma:versionID="469837e0fc7a788c66dcf84a8bbab5bf">
  <xsd:schema xmlns:xsd="http://www.w3.org/2001/XMLSchema" xmlns:xs="http://www.w3.org/2001/XMLSchema" xmlns:p="http://schemas.microsoft.com/office/2006/metadata/properties" xmlns:ns2="59733063-40b5-4cc0-9055-2c0f0c39846a" xmlns:ns3="55b217b4-0474-40c2-9a3a-6135d1d470f1" targetNamespace="http://schemas.microsoft.com/office/2006/metadata/properties" ma:root="true" ma:fieldsID="41bb695a23b5748872628101c8d72a29" ns2:_="" ns3:_="">
    <xsd:import namespace="59733063-40b5-4cc0-9055-2c0f0c39846a"/>
    <xsd:import namespace="55b217b4-0474-40c2-9a3a-6135d1d470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33063-40b5-4cc0-9055-2c0f0c3984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b217b4-0474-40c2-9a3a-6135d1d470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EDD942-F94B-4E7D-B895-C313C80C59AB}">
  <ds:schemaRefs>
    <ds:schemaRef ds:uri="http://schemas.openxmlformats.org/officeDocument/2006/bibliography"/>
  </ds:schemaRefs>
</ds:datastoreItem>
</file>

<file path=customXml/itemProps2.xml><?xml version="1.0" encoding="utf-8"?>
<ds:datastoreItem xmlns:ds="http://schemas.openxmlformats.org/officeDocument/2006/customXml" ds:itemID="{49EDD942-F94B-4E7D-B895-C313C80C59AB}">
  <ds:schemaRefs>
    <ds:schemaRef ds:uri="http://schemas.openxmlformats.org/officeDocument/2006/bibliography"/>
  </ds:schemaRefs>
</ds:datastoreItem>
</file>

<file path=customXml/itemProps3.xml><?xml version="1.0" encoding="utf-8"?>
<ds:datastoreItem xmlns:ds="http://schemas.openxmlformats.org/officeDocument/2006/customXml" ds:itemID="{075B0298-E201-463B-9C15-C36B3540894D}"/>
</file>

<file path=customXml/itemProps4.xml><?xml version="1.0" encoding="utf-8"?>
<ds:datastoreItem xmlns:ds="http://schemas.openxmlformats.org/officeDocument/2006/customXml" ds:itemID="{2BC9E54F-83A2-423F-A3A7-AAE39A231EBE}"/>
</file>

<file path=customXml/itemProps5.xml><?xml version="1.0" encoding="utf-8"?>
<ds:datastoreItem xmlns:ds="http://schemas.openxmlformats.org/officeDocument/2006/customXml" ds:itemID="{29330F93-F22F-4C98-8602-CC1142C09EB6}"/>
</file>

<file path=docProps/app.xml><?xml version="1.0" encoding="utf-8"?>
<Properties xmlns="http://schemas.openxmlformats.org/officeDocument/2006/extended-properties" xmlns:vt="http://schemas.openxmlformats.org/officeDocument/2006/docPropsVTypes">
  <Template>Normal.dotm</Template>
  <TotalTime>0</TotalTime>
  <Pages>1</Pages>
  <Words>16304</Words>
  <Characters>92937</Characters>
  <Application>Microsoft Office Word</Application>
  <DocSecurity>4</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2021-05-09T17:30:00Z</dcterms:created>
  <dcterms:modified xsi:type="dcterms:W3CDTF">2021-05-09T17:30:00Z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RecordPoint_RecordNumberSubmitted">
    <vt:lpwstr>R20200000730405</vt:lpwstr>
  </property>
  <property fmtid="{D5CDD505-2E9C-101B-9397-08002B2CF9AE}" pid="4" name="ContentTypeId">
    <vt:lpwstr>0x010100F94DD07BC474A342B1736545077809B2</vt:lpwstr>
  </property>
  <property fmtid="{D5CDD505-2E9C-101B-9397-08002B2CF9AE}" pid="5" name="BisDocumentType">
    <vt:lpwstr/>
  </property>
  <property fmtid="{D5CDD505-2E9C-101B-9397-08002B2CF9AE}" pid="6" name="SecurityClassification">
    <vt:lpwstr>9;#OFFICIAL - Sensitive|6eccc17f-024b-41b0-b6b1-faf98d2aff85</vt:lpwstr>
  </property>
  <property fmtid="{D5CDD505-2E9C-101B-9397-08002B2CF9AE}" pid="7" name="RecordPoint_ActiveItemWebId">
    <vt:lpwstr>{beb4cffa-a87e-476d-882d-4d3866992d4f}</vt:lpwstr>
  </property>
  <property fmtid="{D5CDD505-2E9C-101B-9397-08002B2CF9AE}" pid="8" name="BisAuthors">
    <vt:lpwstr/>
  </property>
  <property fmtid="{D5CDD505-2E9C-101B-9397-08002B2CF9AE}" pid="9" name="BisInstitution">
    <vt:lpwstr/>
  </property>
  <property fmtid="{D5CDD505-2E9C-101B-9397-08002B2CF9AE}" pid="10" name="RecordPoint_WorkflowType">
    <vt:lpwstr>ActiveSubmitStub</vt:lpwstr>
  </property>
  <property fmtid="{D5CDD505-2E9C-101B-9397-08002B2CF9AE}" pid="11" name="BisRecipients">
    <vt:lpwstr/>
  </property>
  <property fmtid="{D5CDD505-2E9C-101B-9397-08002B2CF9AE}" pid="12" name="_dlc_DocIdItemGuid">
    <vt:lpwstr>308d5c59-5130-4e5d-9a0d-8c799b0e0eed</vt:lpwstr>
  </property>
  <property fmtid="{D5CDD505-2E9C-101B-9397-08002B2CF9AE}" pid="13" name="RecordPoint_ActiveItemSiteId">
    <vt:lpwstr>{17c60cf1-008c-4115-82e5-e12b1392a9ba}</vt:lpwstr>
  </property>
  <property fmtid="{D5CDD505-2E9C-101B-9397-08002B2CF9AE}" pid="14" name="RecordPoint_ActiveItemListId">
    <vt:lpwstr>{01701b17-7e59-46b9-9a88-47e1fe3bdb3c}</vt:lpwstr>
  </property>
  <property fmtid="{D5CDD505-2E9C-101B-9397-08002B2CF9AE}" pid="15" name="RecordPoint_SubmissionCompleted">
    <vt:lpwstr>2020-12-11T09:07:03.5673211+11:00</vt:lpwstr>
  </property>
  <property fmtid="{D5CDD505-2E9C-101B-9397-08002B2CF9AE}" pid="16" name="RecordPoint_ActiveItemUniqueId">
    <vt:lpwstr>{efd4865d-0fe1-46d5-b815-682f1c439ec0}</vt:lpwstr>
  </property>
</Properties>
</file>